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contextualSpacing/>
        <w:jc w:val="center"/>
        <w:rPr>
          <w:rFonts w:ascii="Calibri" w:hAnsi="Calibri"/>
          <w:sz w:val="24"/>
          <w:szCs w:val="24"/>
        </w:rPr>
      </w:pPr>
      <w:bookmarkStart w:id="0" w:name="_Hlk82471863"/>
      <w:commentRangeStart w:id="0"/>
      <w:r>
        <w:rPr>
          <w:rFonts w:cs="Arial" w:ascii="Calibri" w:hAnsi="Calibri"/>
          <w:b/>
          <w:bCs/>
          <w:color w:themeColor="text1" w:val="000000"/>
          <w:sz w:val="24"/>
          <w:szCs w:val="24"/>
        </w:rPr>
        <w:t>MODELO DE TERMO DE REFERÊNCIA</w:t>
        <w:br/>
        <w:t>Lei nº 14.133, de 1º de abril de 2021</w:t>
        <w:br/>
        <w:t>AQUISIÇÕES, EXCETO TIC</w:t>
      </w:r>
    </w:p>
    <w:p>
      <w:pPr>
        <w:pStyle w:val="Normal"/>
        <w:spacing w:lineRule="auto" w:line="312" w:before="0" w:after="288"/>
        <w:contextualSpacing/>
        <w:jc w:val="center"/>
        <w:rPr>
          <w:rFonts w:ascii="Calibri" w:hAnsi="Calibri"/>
          <w:sz w:val="24"/>
          <w:szCs w:val="24"/>
        </w:rPr>
      </w:pPr>
      <w:r>
        <w:rPr>
          <w:rFonts w:cs="Arial" w:ascii="Calibri" w:hAnsi="Calibri"/>
          <w:b/>
          <w:bCs/>
          <w:color w:themeColor="text1" w:val="000000"/>
          <w:sz w:val="24"/>
          <w:szCs w:val="24"/>
        </w:rPr>
        <w:t>LICITAÇÃO E CONTRATAÇÃO DIRETA</w:t>
      </w:r>
      <w:commentRangeEnd w:id="0"/>
      <w:r>
        <w:commentReference w:id="0"/>
      </w:r>
      <w:r>
        <w:rPr>
          <w:rFonts w:cs="Arial" w:ascii="Calibri" w:hAnsi="Calibri"/>
          <w:b/>
          <w:bCs/>
          <w:color w:themeColor="text1" w:val="000000"/>
          <w:sz w:val="24"/>
          <w:szCs w:val="24"/>
        </w:rPr>
      </w:r>
    </w:p>
    <w:p>
      <w:pPr>
        <w:pStyle w:val="Standard"/>
        <w:spacing w:lineRule="auto" w:line="276"/>
        <w:jc w:val="center"/>
        <w:rPr>
          <w:rFonts w:ascii="Calibri" w:hAnsi="Calibri"/>
          <w:sz w:val="24"/>
          <w:szCs w:val="24"/>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18669637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6963775"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Calibri" w:hAnsi="Calibri"/>
          <w:b/>
          <w:color w:val="000000"/>
          <w:sz w:val="24"/>
          <w:szCs w:val="24"/>
        </w:rPr>
        <w:t xml:space="preserve"> </w:t>
      </w:r>
      <w:r>
        <w:rPr>
          <w:rFonts w:cs="Arial" w:ascii="Calibri" w:hAnsi="Calibri"/>
          <w:b/>
          <w:color w:val="000000"/>
          <w:sz w:val="24"/>
          <w:szCs w:val="24"/>
        </w:rPr>
        <w:t>ARINHA DO BRASIL</w:t>
      </w:r>
    </w:p>
    <w:p>
      <w:pPr>
        <w:pStyle w:val="Standard"/>
        <w:spacing w:lineRule="auto" w:line="276"/>
        <w:jc w:val="center"/>
        <w:rPr>
          <w:rFonts w:ascii="Calibri" w:hAnsi="Calibri"/>
          <w:sz w:val="24"/>
          <w:szCs w:val="24"/>
        </w:rPr>
      </w:pPr>
      <w:r>
        <w:rPr>
          <w:rFonts w:cs="Arial" w:ascii="Calibri" w:hAnsi="Calibri"/>
          <w:b/>
          <w:color w:val="000000"/>
          <w:sz w:val="24"/>
          <w:szCs w:val="24"/>
        </w:rPr>
        <w:t>COMANDO DO 1° DISTRITO NAVAL</w:t>
      </w:r>
    </w:p>
    <w:p>
      <w:pPr>
        <w:pStyle w:val="Standard"/>
        <w:spacing w:lineRule="auto" w:line="276"/>
        <w:jc w:val="center"/>
        <w:rPr/>
      </w:pPr>
      <w:r>
        <w:rPr>
          <w:rFonts w:cs="Arial" w:ascii="Calibri" w:hAnsi="Calibri"/>
          <w:b/>
          <w:bCs/>
          <w:color w:val="000000"/>
          <w:sz w:val="24"/>
          <w:szCs w:val="24"/>
        </w:rPr>
        <w:t xml:space="preserve">Processo Administrativo n° </w:t>
      </w:r>
      <w:r>
        <w:rPr>
          <w:rStyle w:val="Strong"/>
          <w:rFonts w:cs="Arial" w:ascii="Calibri" w:hAnsi="Calibri"/>
          <w:color w:val="C9211E"/>
          <w:sz w:val="24"/>
          <w:szCs w:val="24"/>
        </w:rPr>
        <w:t xml:space="preserve"> </w:t>
      </w:r>
      <w:r>
        <w:rPr>
          <w:rStyle w:val="Strong"/>
          <w:rFonts w:eastAsia="Times New Roman" w:cs="Carlito;Calibri" w:ascii="Calibri" w:hAnsi="Calibri"/>
          <w:iCs/>
          <w:color w:val="000000"/>
          <w:spacing w:val="4"/>
          <w:sz w:val="24"/>
          <w:szCs w:val="24"/>
        </w:rPr>
        <w:t>62002.009720/2025-34</w:t>
      </w:r>
    </w:p>
    <w:p>
      <w:pPr>
        <w:pStyle w:val="Normal"/>
        <w:spacing w:lineRule="auto" w:line="312" w:before="0" w:after="288"/>
        <w:jc w:val="center"/>
        <w:rPr>
          <w:rFonts w:ascii="Calibri" w:hAnsi="Calibri" w:cs="Arial"/>
          <w:b/>
          <w:bCs/>
          <w:color w:themeColor="text1" w:val="000000"/>
          <w:sz w:val="24"/>
          <w:szCs w:val="24"/>
        </w:rPr>
      </w:pPr>
      <w:r>
        <w:rPr>
          <w:rFonts w:cs="Arial" w:ascii="Calibri" w:hAnsi="Calibri"/>
          <w:b/>
          <w:bCs/>
          <w:color w:themeColor="text1" w:val="000000"/>
          <w:sz w:val="24"/>
          <w:szCs w:val="24"/>
        </w:rPr>
      </w:r>
    </w:p>
    <w:p>
      <w:pPr>
        <w:pStyle w:val="Normal"/>
        <w:spacing w:lineRule="auto" w:line="312" w:before="0" w:after="288"/>
        <w:jc w:val="center"/>
        <w:rPr>
          <w:rFonts w:ascii="Calibri" w:hAnsi="Calibri"/>
          <w:sz w:val="24"/>
          <w:szCs w:val="24"/>
        </w:rPr>
      </w:pPr>
      <w:r>
        <w:rPr>
          <w:rFonts w:cs="Arial" w:ascii="Calibri" w:hAnsi="Calibri"/>
          <w:b/>
          <w:bCs/>
          <w:color w:themeColor="text1" w:val="000000"/>
          <w:sz w:val="24"/>
          <w:szCs w:val="24"/>
        </w:rPr>
        <w:t>TERMO DE REFERÊNCIA</w:t>
      </w:r>
    </w:p>
    <w:p>
      <w:pPr>
        <w:pStyle w:val="Nivel01"/>
        <w:numPr>
          <w:ilvl w:val="0"/>
          <w:numId w:val="3"/>
        </w:numPr>
        <w:ind w:hanging="357" w:left="357"/>
        <w:rPr>
          <w:rFonts w:ascii="Calibri" w:hAnsi="Calibri"/>
          <w:sz w:val="24"/>
          <w:szCs w:val="24"/>
        </w:rPr>
      </w:pPr>
      <w:r>
        <w:rPr>
          <w:rFonts w:ascii="Calibri" w:hAnsi="Calibri"/>
          <w:sz w:val="24"/>
          <w:szCs w:val="24"/>
        </w:rPr>
        <w:t>CONDIÇÕES GERAIS DA CONTRATAÇÃO</w:t>
      </w:r>
    </w:p>
    <w:p>
      <w:pPr>
        <w:pStyle w:val="Nvel02"/>
        <w:numPr>
          <w:ilvl w:val="1"/>
          <w:numId w:val="3"/>
        </w:numPr>
        <w:ind w:hanging="0" w:left="0"/>
        <w:rPr/>
      </w:pPr>
      <w:r>
        <w:rPr>
          <w:rStyle w:val="Fontepargpadro"/>
          <w:rFonts w:eastAsia="SimSun" w:cs="Carlito;Calibri"/>
          <w:b w:val="false"/>
          <w:bCs w:val="false"/>
          <w:i w:val="false"/>
          <w:iCs w:val="false"/>
          <w:caps w:val="false"/>
          <w:smallCaps w:val="false"/>
          <w:strike w:val="false"/>
          <w:dstrike w:val="false"/>
          <w:outline w:val="false"/>
          <w:shadow w:val="false"/>
          <w:color w:val="000000"/>
          <w:spacing w:val="4"/>
          <w:kern w:val="0"/>
          <w:position w:val="0"/>
          <w:sz w:val="24"/>
          <w:sz w:val="24"/>
          <w:szCs w:val="24"/>
          <w:u w:val="none"/>
          <w:effect w:val="none"/>
          <w:shd w:fill="FFFFFF" w:val="clear"/>
          <w:vertAlign w:val="baseline"/>
          <w:em w:val="none"/>
          <w:lang w:val="pt-BR" w:eastAsia="ar-SA" w:bidi="hi-IN"/>
        </w:rPr>
        <w:t>Registro de Preços para eventual aquisição</w:t>
      </w:r>
      <w:bookmarkStart w:id="1" w:name="_Ref172096041"/>
      <w:r>
        <w:rPr>
          <w:sz w:val="24"/>
          <w:szCs w:val="24"/>
        </w:rPr>
        <w:t xml:space="preserve"> das pastilhas de detergente </w:t>
      </w:r>
      <w:r>
        <w:rPr>
          <w:b/>
          <w:bCs/>
          <w:sz w:val="24"/>
          <w:szCs w:val="24"/>
        </w:rPr>
        <w:t>Active (Green)</w:t>
      </w:r>
      <w:r>
        <w:rPr>
          <w:sz w:val="24"/>
          <w:szCs w:val="24"/>
        </w:rPr>
        <w:t xml:space="preserve"> e</w:t>
      </w:r>
      <w:r>
        <w:rPr>
          <w:color w:val="000000"/>
          <w:sz w:val="24"/>
          <w:szCs w:val="24"/>
        </w:rPr>
        <w:t xml:space="preserve"> descalcificante </w:t>
      </w:r>
      <w:r>
        <w:rPr>
          <w:b/>
          <w:bCs/>
          <w:color w:val="000000"/>
          <w:sz w:val="24"/>
          <w:szCs w:val="24"/>
        </w:rPr>
        <w:t>(Blue)</w:t>
      </w:r>
      <w:r>
        <w:rPr>
          <w:color w:val="000000"/>
          <w:sz w:val="24"/>
          <w:szCs w:val="24"/>
        </w:rPr>
        <w:t xml:space="preserve"> para garantir o adequado funcionamento e a manutenção preventiva dos cinco fornos iCombi Pro Rational do Comando do 1° Distrito Naval</w:t>
      </w:r>
      <w:r>
        <w:rPr>
          <w:i/>
          <w:color w:val="000000"/>
          <w:sz w:val="24"/>
          <w:szCs w:val="24"/>
        </w:rPr>
        <w:t>,</w:t>
      </w:r>
      <w:r>
        <w:rPr>
          <w:color w:val="000000"/>
          <w:sz w:val="24"/>
          <w:szCs w:val="24"/>
        </w:rPr>
        <w:t xml:space="preserve"> nos termos da tabela abaixo, conforme condições e exigências estabelecidas neste instrumento.</w:t>
      </w:r>
      <w:bookmarkEnd w:id="1"/>
    </w:p>
    <w:tbl>
      <w:tblPr>
        <w:tblW w:w="9796"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785"/>
        <w:gridCol w:w="2411"/>
        <w:gridCol w:w="1108"/>
        <w:gridCol w:w="484"/>
        <w:gridCol w:w="727"/>
        <w:gridCol w:w="773"/>
        <w:gridCol w:w="797"/>
        <w:gridCol w:w="1280"/>
        <w:gridCol w:w="1431"/>
      </w:tblGrid>
      <w:tr>
        <w:trPr>
          <w:trHeight w:val="290" w:hRule="atLeast"/>
        </w:trPr>
        <w:tc>
          <w:tcPr>
            <w:tcW w:w="785"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ITEM</w:t>
            </w:r>
          </w:p>
        </w:tc>
        <w:tc>
          <w:tcPr>
            <w:tcW w:w="2411"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DESCRIÇÃO/ESPECIFICAÇÃO</w:t>
            </w:r>
          </w:p>
        </w:tc>
        <w:tc>
          <w:tcPr>
            <w:tcW w:w="1108"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b/>
                <w:bCs/>
                <w:sz w:val="24"/>
                <w:szCs w:val="24"/>
              </w:rPr>
              <w:t>CATMAT</w:t>
            </w:r>
          </w:p>
        </w:tc>
        <w:tc>
          <w:tcPr>
            <w:tcW w:w="484"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UF</w:t>
            </w:r>
          </w:p>
        </w:tc>
        <w:tc>
          <w:tcPr>
            <w:tcW w:w="1500" w:type="dxa"/>
            <w:gridSpan w:val="2"/>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REQUISIÇÃO</w:t>
            </w:r>
          </w:p>
        </w:tc>
        <w:tc>
          <w:tcPr>
            <w:tcW w:w="797" w:type="dxa"/>
            <w:vMerge w:val="restart"/>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jc w:val="center"/>
              <w:rPr>
                <w:rFonts w:ascii="Calibri" w:hAnsi="Calibri" w:cs="Carlito"/>
                <w:b/>
                <w:bCs/>
                <w:sz w:val="24"/>
                <w:szCs w:val="24"/>
              </w:rPr>
            </w:pPr>
            <w:r>
              <w:rPr>
                <w:rFonts w:cs="Carlito" w:ascii="Calibri" w:hAnsi="Calibri"/>
                <w:b/>
                <w:bCs/>
                <w:sz w:val="24"/>
                <w:szCs w:val="24"/>
              </w:rPr>
            </w:r>
          </w:p>
          <w:p>
            <w:pPr>
              <w:pStyle w:val="Normal"/>
              <w:widowControl w:val="false"/>
              <w:jc w:val="center"/>
              <w:rPr>
                <w:rFonts w:ascii="Calibri" w:hAnsi="Calibri"/>
                <w:sz w:val="24"/>
                <w:szCs w:val="24"/>
              </w:rPr>
            </w:pPr>
            <w:r>
              <w:rPr>
                <w:rFonts w:cs="Carlito" w:ascii="Calibri" w:hAnsi="Calibri"/>
                <w:b/>
                <w:bCs/>
                <w:sz w:val="24"/>
                <w:szCs w:val="24"/>
              </w:rPr>
              <w:t>QTD</w:t>
            </w:r>
          </w:p>
          <w:p>
            <w:pPr>
              <w:pStyle w:val="Normal"/>
              <w:widowControl w:val="false"/>
              <w:jc w:val="center"/>
              <w:rPr>
                <w:rFonts w:ascii="Calibri" w:hAnsi="Calibri"/>
                <w:sz w:val="24"/>
                <w:szCs w:val="24"/>
              </w:rPr>
            </w:pPr>
            <w:r>
              <w:rPr>
                <w:rFonts w:cs="Carlito" w:ascii="Calibri" w:hAnsi="Calibri"/>
                <w:b/>
                <w:bCs/>
                <w:sz w:val="24"/>
                <w:szCs w:val="24"/>
              </w:rPr>
              <w:t>TOTAL</w:t>
            </w:r>
          </w:p>
        </w:tc>
        <w:tc>
          <w:tcPr>
            <w:tcW w:w="1280"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VALOR</w:t>
            </w:r>
          </w:p>
          <w:p>
            <w:pPr>
              <w:pStyle w:val="Normal"/>
              <w:widowControl w:val="false"/>
              <w:jc w:val="center"/>
              <w:rPr>
                <w:rFonts w:ascii="Calibri" w:hAnsi="Calibri"/>
                <w:sz w:val="24"/>
                <w:szCs w:val="24"/>
              </w:rPr>
            </w:pPr>
            <w:r>
              <w:rPr>
                <w:rFonts w:cs="Carlito" w:ascii="Calibri" w:hAnsi="Calibri"/>
                <w:b/>
                <w:bCs/>
                <w:sz w:val="24"/>
                <w:szCs w:val="24"/>
              </w:rPr>
              <w:t>UNITÁRIO</w:t>
            </w:r>
          </w:p>
          <w:p>
            <w:pPr>
              <w:pStyle w:val="Normal"/>
              <w:widowControl w:val="false"/>
              <w:jc w:val="center"/>
              <w:rPr>
                <w:rFonts w:ascii="Calibri" w:hAnsi="Calibri"/>
                <w:sz w:val="24"/>
                <w:szCs w:val="24"/>
              </w:rPr>
            </w:pPr>
            <w:r>
              <w:rPr>
                <w:rFonts w:cs="Carlito" w:ascii="Calibri" w:hAnsi="Calibri"/>
                <w:b/>
                <w:bCs/>
                <w:sz w:val="24"/>
                <w:szCs w:val="24"/>
              </w:rPr>
              <w:t>ESTIMADO</w:t>
            </w:r>
          </w:p>
        </w:tc>
        <w:tc>
          <w:tcPr>
            <w:tcW w:w="143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VALOR</w:t>
            </w:r>
          </w:p>
          <w:p>
            <w:pPr>
              <w:pStyle w:val="Normal"/>
              <w:widowControl w:val="false"/>
              <w:jc w:val="center"/>
              <w:rPr>
                <w:rFonts w:ascii="Calibri" w:hAnsi="Calibri"/>
                <w:sz w:val="24"/>
                <w:szCs w:val="24"/>
              </w:rPr>
            </w:pPr>
            <w:r>
              <w:rPr>
                <w:rFonts w:cs="Carlito" w:ascii="Calibri" w:hAnsi="Calibri"/>
                <w:b/>
                <w:bCs/>
                <w:sz w:val="24"/>
                <w:szCs w:val="24"/>
              </w:rPr>
              <w:t>TOTAL</w:t>
            </w:r>
          </w:p>
        </w:tc>
      </w:tr>
      <w:tr>
        <w:trPr>
          <w:trHeight w:val="290" w:hRule="atLeast"/>
        </w:trPr>
        <w:tc>
          <w:tcPr>
            <w:tcW w:w="785" w:type="dxa"/>
            <w:vMerge w:val="continue"/>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2411" w:type="dxa"/>
            <w:vMerge w:val="continue"/>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1108" w:type="dxa"/>
            <w:vMerge w:val="continue"/>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b/>
                <w:bCs/>
                <w:sz w:val="24"/>
                <w:szCs w:val="24"/>
              </w:rPr>
            </w:pPr>
            <w:r>
              <w:rPr>
                <w:rFonts w:ascii="Calibri" w:hAnsi="Calibri"/>
                <w:b/>
                <w:bCs/>
                <w:sz w:val="24"/>
                <w:szCs w:val="24"/>
              </w:rPr>
            </w:r>
          </w:p>
        </w:tc>
        <w:tc>
          <w:tcPr>
            <w:tcW w:w="484" w:type="dxa"/>
            <w:vMerge w:val="continue"/>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727" w:type="dxa"/>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Min</w:t>
            </w:r>
          </w:p>
        </w:tc>
        <w:tc>
          <w:tcPr>
            <w:tcW w:w="773" w:type="dxa"/>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cs="Carlito" w:ascii="Calibri" w:hAnsi="Calibri"/>
                <w:b/>
                <w:bCs/>
                <w:sz w:val="24"/>
                <w:szCs w:val="24"/>
              </w:rPr>
              <w:t>Máx</w:t>
            </w:r>
          </w:p>
        </w:tc>
        <w:tc>
          <w:tcPr>
            <w:tcW w:w="797" w:type="dxa"/>
            <w:vMerge w:val="continue"/>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jc w:val="center"/>
              <w:rPr>
                <w:rFonts w:ascii="Calibri" w:hAnsi="Calibri" w:cs="Carlito"/>
                <w:b/>
                <w:bCs/>
                <w:sz w:val="24"/>
                <w:szCs w:val="24"/>
              </w:rPr>
            </w:pPr>
            <w:r>
              <w:rPr>
                <w:rFonts w:cs="Carlito" w:ascii="Calibri" w:hAnsi="Calibri"/>
                <w:b/>
                <w:bCs/>
                <w:sz w:val="24"/>
                <w:szCs w:val="24"/>
              </w:rPr>
            </w:r>
          </w:p>
        </w:tc>
        <w:tc>
          <w:tcPr>
            <w:tcW w:w="1280" w:type="dxa"/>
            <w:vMerge w:val="continue"/>
            <w:tcBorders>
              <w:top w:val="single" w:sz="4" w:space="0" w:color="000000"/>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143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r>
      <w:tr>
        <w:trPr>
          <w:trHeight w:val="143" w:hRule="atLeast"/>
        </w:trPr>
        <w:tc>
          <w:tcPr>
            <w:tcW w:w="785"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1</w:t>
            </w:r>
          </w:p>
        </w:tc>
        <w:tc>
          <w:tcPr>
            <w:tcW w:w="2411" w:type="dxa"/>
            <w:tcBorders>
              <w:left w:val="single" w:sz="4" w:space="0" w:color="000000"/>
              <w:bottom w:val="single" w:sz="4" w:space="0" w:color="000000"/>
            </w:tcBorders>
            <w:vAlign w:val="center"/>
          </w:tcPr>
          <w:p>
            <w:pPr>
              <w:pStyle w:val="Default"/>
              <w:widowControl w:val="false"/>
              <w:rPr>
                <w:rFonts w:ascii="Calibri" w:hAnsi="Calibri"/>
                <w:sz w:val="24"/>
                <w:szCs w:val="24"/>
              </w:rPr>
            </w:pPr>
            <w:r>
              <w:rPr>
                <w:rFonts w:ascii="Calibri" w:hAnsi="Calibri"/>
                <w:b/>
                <w:bCs/>
                <w:sz w:val="24"/>
                <w:szCs w:val="24"/>
              </w:rPr>
              <w:t>Pastilha descalcificante Blue</w:t>
            </w:r>
          </w:p>
          <w:p>
            <w:pPr>
              <w:pStyle w:val="Default"/>
              <w:widowControl w:val="false"/>
              <w:rPr>
                <w:rFonts w:ascii="Calibri" w:hAnsi="Calibri"/>
                <w:b/>
                <w:bCs/>
                <w:sz w:val="24"/>
                <w:szCs w:val="24"/>
              </w:rPr>
            </w:pPr>
            <w:r>
              <w:rPr>
                <w:rFonts w:ascii="Calibri" w:hAnsi="Calibri"/>
                <w:b/>
                <w:bCs/>
                <w:sz w:val="24"/>
                <w:szCs w:val="24"/>
              </w:rPr>
            </w:r>
          </w:p>
          <w:p>
            <w:pPr>
              <w:pStyle w:val="Default"/>
              <w:widowControl w:val="false"/>
              <w:jc w:val="both"/>
              <w:rPr>
                <w:rFonts w:ascii="Calibri" w:hAnsi="Calibri"/>
                <w:sz w:val="24"/>
                <w:szCs w:val="24"/>
              </w:rPr>
            </w:pPr>
            <w:r>
              <w:rPr>
                <w:rFonts w:ascii="Calibri" w:hAnsi="Calibri"/>
                <w:sz w:val="24"/>
                <w:szCs w:val="24"/>
              </w:rPr>
              <w:t>Pastilha descalcificante Blue, original da marca Rational. O produto tem a função de prevenção de depósitos de calcário e a manutenção da higiene interna do forno, garantindo eficiência, prolongamento da vida útil do equipamento e operação confiável.</w:t>
            </w:r>
          </w:p>
          <w:p>
            <w:pPr>
              <w:pStyle w:val="Default"/>
              <w:widowControl w:val="false"/>
              <w:jc w:val="both"/>
              <w:rPr>
                <w:rFonts w:ascii="Calibri" w:hAnsi="Calibri"/>
                <w:sz w:val="24"/>
                <w:szCs w:val="24"/>
              </w:rPr>
            </w:pPr>
            <w:r>
              <w:rPr>
                <w:rFonts w:ascii="Calibri" w:hAnsi="Calibri"/>
                <w:sz w:val="24"/>
                <w:szCs w:val="24"/>
              </w:rPr>
              <w:t>Produto fornecido em balde lacrado contendo 150 unidades, com dimensões de 32 cm x 20 cm x 21 cm e peso total de 6 kg, conforme referência do fabricante 56.00.562. Cada pastilha contém ingredientes especiais de dissolução de calcário, garantindo compatibilidade total com os ciclos automáticos de descalcificação dos fornos, conforme recomendações do fabricante</w:t>
            </w:r>
          </w:p>
        </w:tc>
        <w:tc>
          <w:tcPr>
            <w:tcW w:w="1108"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17562</w:t>
            </w:r>
          </w:p>
        </w:tc>
        <w:tc>
          <w:tcPr>
            <w:tcW w:w="484"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eastAsia="" w:ascii="Calibri" w:hAnsi="Calibri" w:eastAsiaTheme="minorEastAsia"/>
                <w:color w:val="000000"/>
                <w:sz w:val="24"/>
                <w:szCs w:val="24"/>
                <w:shd w:fill="auto" w:val="clear"/>
              </w:rPr>
              <w:t>BD</w:t>
            </w:r>
          </w:p>
        </w:tc>
        <w:tc>
          <w:tcPr>
            <w:tcW w:w="727" w:type="dxa"/>
            <w:tcBorders>
              <w:left w:val="single" w:sz="4" w:space="0" w:color="000000"/>
              <w:bottom w:val="single" w:sz="4" w:space="0" w:color="000000"/>
            </w:tcBorders>
            <w:vAlign w:val="center"/>
          </w:tcPr>
          <w:p>
            <w:pPr>
              <w:pStyle w:val="Contedodatabela"/>
              <w:widowControl w:val="false"/>
              <w:jc w:val="center"/>
              <w:rPr>
                <w:rFonts w:ascii="Calibri" w:hAnsi="Calibri"/>
                <w:sz w:val="24"/>
                <w:szCs w:val="24"/>
              </w:rPr>
            </w:pPr>
            <w:r>
              <w:rPr>
                <w:rFonts w:eastAsia="" w:ascii="Calibri" w:hAnsi="Calibri" w:eastAsiaTheme="minorEastAsia"/>
                <w:color w:val="000000"/>
                <w:sz w:val="24"/>
                <w:szCs w:val="24"/>
                <w:shd w:fill="auto" w:val="clear"/>
              </w:rPr>
              <w:t>6</w:t>
            </w:r>
          </w:p>
        </w:tc>
        <w:tc>
          <w:tcPr>
            <w:tcW w:w="773" w:type="dxa"/>
            <w:tcBorders>
              <w:left w:val="single" w:sz="4" w:space="0" w:color="000000"/>
              <w:bottom w:val="single" w:sz="4" w:space="0" w:color="000000"/>
            </w:tcBorders>
            <w:vAlign w:val="center"/>
          </w:tcPr>
          <w:p>
            <w:pPr>
              <w:pStyle w:val="Contedodatabela"/>
              <w:widowControl w:val="false"/>
              <w:jc w:val="center"/>
              <w:rPr>
                <w:rFonts w:ascii="Calibri" w:hAnsi="Calibri"/>
                <w:sz w:val="24"/>
                <w:szCs w:val="24"/>
              </w:rPr>
            </w:pPr>
            <w:r>
              <w:rPr>
                <w:rFonts w:eastAsia="" w:ascii="Calibri" w:hAnsi="Calibri" w:eastAsiaTheme="minorEastAsia"/>
                <w:color w:val="000000"/>
                <w:sz w:val="24"/>
                <w:szCs w:val="24"/>
                <w:shd w:fill="auto" w:val="clear"/>
              </w:rPr>
              <w:t>12</w:t>
            </w:r>
          </w:p>
        </w:tc>
        <w:tc>
          <w:tcPr>
            <w:tcW w:w="797" w:type="dxa"/>
            <w:tcBorders>
              <w:left w:val="single" w:sz="4" w:space="0" w:color="000000"/>
              <w:bottom w:val="single" w:sz="4" w:space="0" w:color="000000"/>
              <w:right w:val="single" w:sz="4" w:space="0" w:color="000000"/>
            </w:tcBorders>
            <w:tcMar>
              <w:left w:w="10" w:type="dxa"/>
              <w:right w:w="10" w:type="dxa"/>
            </w:tcMar>
            <w:vAlign w:val="center"/>
          </w:tcPr>
          <w:p>
            <w:pPr>
              <w:pStyle w:val="Normal"/>
              <w:widowControl w:val="false"/>
              <w:snapToGrid w:val="false"/>
              <w:jc w:val="center"/>
              <w:rPr>
                <w:rFonts w:ascii="Calibri" w:hAnsi="Calibri"/>
                <w:sz w:val="24"/>
                <w:szCs w:val="24"/>
              </w:rPr>
            </w:pPr>
            <w:r>
              <w:rPr>
                <w:rFonts w:eastAsia="" w:ascii="Calibri" w:hAnsi="Calibri" w:eastAsiaTheme="minorEastAsia"/>
                <w:color w:val="000000"/>
                <w:sz w:val="24"/>
                <w:szCs w:val="24"/>
                <w:shd w:fill="auto" w:val="clear"/>
              </w:rPr>
              <w:t>24</w:t>
            </w:r>
          </w:p>
        </w:tc>
        <w:tc>
          <w:tcPr>
            <w:tcW w:w="1280" w:type="dxa"/>
            <w:tcBorders>
              <w:left w:val="single" w:sz="4" w:space="0" w:color="000000"/>
              <w:bottom w:val="single" w:sz="4" w:space="0" w:color="000000"/>
            </w:tcBorders>
            <w:vAlign w:val="center"/>
          </w:tcPr>
          <w:p>
            <w:pPr>
              <w:pStyle w:val="Normal"/>
              <w:widowControl w:val="false"/>
              <w:snapToGrid w:val="false"/>
              <w:jc w:val="center"/>
              <w:rPr>
                <w:rFonts w:ascii="Calibri" w:hAnsi="Calibri"/>
                <w:sz w:val="24"/>
                <w:szCs w:val="24"/>
              </w:rPr>
            </w:pPr>
            <w:r>
              <w:rPr>
                <w:rFonts w:ascii="Calibri" w:hAnsi="Calibri"/>
                <w:sz w:val="24"/>
                <w:szCs w:val="24"/>
                <w:shd w:fill="auto" w:val="clear"/>
              </w:rPr>
              <w:t xml:space="preserve">R$ </w:t>
            </w:r>
            <w:r>
              <w:rPr>
                <w:rFonts w:eastAsia="" w:cs="Tahoma" w:ascii="Calibri" w:hAnsi="Calibri"/>
                <w:color w:val="000000"/>
                <w:kern w:val="0"/>
                <w:sz w:val="24"/>
                <w:szCs w:val="24"/>
                <w:shd w:fill="auto" w:val="clear"/>
                <w:lang w:val="pt-BR" w:eastAsia="pt-BR" w:bidi="ar-SA"/>
              </w:rPr>
              <w:t>794,31</w:t>
            </w:r>
          </w:p>
        </w:tc>
        <w:tc>
          <w:tcPr>
            <w:tcW w:w="1431" w:type="dxa"/>
            <w:tcBorders>
              <w:left w:val="single" w:sz="4" w:space="0" w:color="000000"/>
              <w:bottom w:val="single" w:sz="4" w:space="0" w:color="000000"/>
              <w:right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shd w:fill="auto" w:val="clear"/>
              </w:rPr>
              <w:t>R$ 19.063,44</w:t>
            </w:r>
          </w:p>
        </w:tc>
      </w:tr>
      <w:tr>
        <w:trPr>
          <w:trHeight w:val="143" w:hRule="atLeast"/>
        </w:trPr>
        <w:tc>
          <w:tcPr>
            <w:tcW w:w="785"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2</w:t>
            </w:r>
          </w:p>
        </w:tc>
        <w:tc>
          <w:tcPr>
            <w:tcW w:w="2411" w:type="dxa"/>
            <w:tcBorders>
              <w:left w:val="single" w:sz="4" w:space="0" w:color="000000"/>
              <w:bottom w:val="single" w:sz="4" w:space="0" w:color="000000"/>
            </w:tcBorders>
            <w:vAlign w:val="center"/>
          </w:tcPr>
          <w:p>
            <w:pPr>
              <w:pStyle w:val="Default"/>
              <w:widowControl w:val="false"/>
              <w:rPr>
                <w:rFonts w:ascii="Calibri" w:hAnsi="Calibri"/>
                <w:sz w:val="24"/>
                <w:szCs w:val="24"/>
              </w:rPr>
            </w:pPr>
            <w:r>
              <w:rPr>
                <w:rFonts w:ascii="Calibri" w:hAnsi="Calibri"/>
                <w:b/>
                <w:bCs/>
                <w:sz w:val="24"/>
                <w:szCs w:val="24"/>
              </w:rPr>
              <w:t>Pastilha detergente Active (Green)</w:t>
            </w:r>
          </w:p>
          <w:p>
            <w:pPr>
              <w:pStyle w:val="Default"/>
              <w:widowControl w:val="false"/>
              <w:rPr>
                <w:rFonts w:ascii="Calibri" w:hAnsi="Calibri"/>
                <w:b/>
                <w:bCs/>
                <w:sz w:val="24"/>
                <w:szCs w:val="24"/>
              </w:rPr>
            </w:pPr>
            <w:r>
              <w:rPr>
                <w:rFonts w:ascii="Calibri" w:hAnsi="Calibri"/>
                <w:b/>
                <w:bCs/>
                <w:sz w:val="24"/>
                <w:szCs w:val="24"/>
              </w:rPr>
            </w:r>
          </w:p>
          <w:p>
            <w:pPr>
              <w:pStyle w:val="Default"/>
              <w:widowControl w:val="false"/>
              <w:jc w:val="both"/>
              <w:rPr>
                <w:rFonts w:ascii="Calibri" w:hAnsi="Calibri"/>
                <w:sz w:val="24"/>
                <w:szCs w:val="24"/>
              </w:rPr>
            </w:pPr>
            <w:r>
              <w:rPr>
                <w:rFonts w:ascii="Calibri" w:hAnsi="Calibri"/>
                <w:sz w:val="24"/>
                <w:szCs w:val="24"/>
              </w:rPr>
              <w:t>Pastilha de detergente Active Green, original da marca Rational. Produto projetado para proporcionar limpeza ultrarrápida e eficiente, mantendo a higiene interna dos fornos e contribuindo para a preservação do meio ambiente.</w:t>
            </w:r>
          </w:p>
          <w:p>
            <w:pPr>
              <w:pStyle w:val="Default"/>
              <w:widowControl w:val="false"/>
              <w:jc w:val="both"/>
              <w:rPr>
                <w:rFonts w:ascii="Calibri" w:hAnsi="Calibri"/>
                <w:sz w:val="24"/>
                <w:szCs w:val="24"/>
              </w:rPr>
            </w:pPr>
            <w:r>
              <w:rPr>
                <w:rFonts w:ascii="Calibri" w:hAnsi="Calibri"/>
                <w:sz w:val="24"/>
                <w:szCs w:val="24"/>
              </w:rPr>
              <w:t>Produto fornecido em balde lacrado contendo 150 unidades, conforme referência do fabricante 56.01.535. As pastilhas são totalmente compatíveis com os ciclos automáticos de limpeza do forno, assegurando a manutenção adequada do equipamento e a preservação de sua vida útil.</w:t>
            </w:r>
          </w:p>
        </w:tc>
        <w:tc>
          <w:tcPr>
            <w:tcW w:w="1108"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6136</w:t>
            </w:r>
          </w:p>
        </w:tc>
        <w:tc>
          <w:tcPr>
            <w:tcW w:w="484"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BD</w:t>
            </w:r>
          </w:p>
        </w:tc>
        <w:tc>
          <w:tcPr>
            <w:tcW w:w="727" w:type="dxa"/>
            <w:tcBorders>
              <w:left w:val="single" w:sz="4" w:space="0" w:color="000000"/>
              <w:bottom w:val="single" w:sz="4" w:space="0" w:color="000000"/>
            </w:tcBorders>
            <w:vAlign w:val="center"/>
          </w:tcPr>
          <w:p>
            <w:pPr>
              <w:pStyle w:val="Contedodatabela"/>
              <w:widowControl w:val="false"/>
              <w:jc w:val="center"/>
              <w:rPr>
                <w:rFonts w:ascii="Calibri" w:hAnsi="Calibri"/>
                <w:sz w:val="24"/>
                <w:szCs w:val="24"/>
              </w:rPr>
            </w:pPr>
            <w:r>
              <w:rPr>
                <w:rFonts w:ascii="Calibri" w:hAnsi="Calibri"/>
                <w:sz w:val="24"/>
                <w:szCs w:val="24"/>
              </w:rPr>
              <w:t>18</w:t>
            </w:r>
          </w:p>
        </w:tc>
        <w:tc>
          <w:tcPr>
            <w:tcW w:w="773" w:type="dxa"/>
            <w:tcBorders>
              <w:left w:val="single" w:sz="4" w:space="0" w:color="000000"/>
              <w:bottom w:val="single" w:sz="4" w:space="0" w:color="000000"/>
            </w:tcBorders>
            <w:vAlign w:val="center"/>
          </w:tcPr>
          <w:p>
            <w:pPr>
              <w:pStyle w:val="Contedodatabela"/>
              <w:widowControl w:val="false"/>
              <w:jc w:val="center"/>
              <w:rPr>
                <w:rFonts w:ascii="Calibri" w:hAnsi="Calibri"/>
                <w:sz w:val="24"/>
                <w:szCs w:val="24"/>
              </w:rPr>
            </w:pPr>
            <w:r>
              <w:rPr>
                <w:rFonts w:ascii="Calibri" w:hAnsi="Calibri"/>
                <w:sz w:val="24"/>
                <w:szCs w:val="24"/>
              </w:rPr>
              <w:t>36</w:t>
            </w:r>
          </w:p>
        </w:tc>
        <w:tc>
          <w:tcPr>
            <w:tcW w:w="797" w:type="dxa"/>
            <w:tcBorders>
              <w:left w:val="single" w:sz="4" w:space="0" w:color="000000"/>
              <w:bottom w:val="single" w:sz="4" w:space="0" w:color="000000"/>
              <w:right w:val="single" w:sz="4" w:space="0" w:color="000000"/>
            </w:tcBorders>
            <w:tcMar>
              <w:left w:w="10" w:type="dxa"/>
              <w:right w:w="10" w:type="dxa"/>
            </w:tcMar>
            <w:vAlign w:val="center"/>
          </w:tcPr>
          <w:p>
            <w:pPr>
              <w:pStyle w:val="Normal"/>
              <w:widowControl w:val="false"/>
              <w:snapToGrid w:val="false"/>
              <w:jc w:val="center"/>
              <w:rPr>
                <w:rFonts w:ascii="Calibri" w:hAnsi="Calibri"/>
                <w:sz w:val="24"/>
                <w:szCs w:val="24"/>
              </w:rPr>
            </w:pPr>
            <w:r>
              <w:rPr>
                <w:rFonts w:ascii="Calibri" w:hAnsi="Calibri"/>
                <w:sz w:val="24"/>
                <w:szCs w:val="24"/>
              </w:rPr>
              <w:t>72</w:t>
            </w:r>
          </w:p>
        </w:tc>
        <w:tc>
          <w:tcPr>
            <w:tcW w:w="1280" w:type="dxa"/>
            <w:tcBorders>
              <w:left w:val="single" w:sz="4" w:space="0" w:color="000000"/>
              <w:bottom w:val="single" w:sz="4" w:space="0" w:color="000000"/>
            </w:tcBorders>
            <w:vAlign w:val="center"/>
          </w:tcPr>
          <w:p>
            <w:pPr>
              <w:pStyle w:val="Normal"/>
              <w:widowControl w:val="false"/>
              <w:snapToGrid w:val="false"/>
              <w:jc w:val="center"/>
              <w:rPr>
                <w:rFonts w:ascii="Calibri" w:hAnsi="Calibri"/>
                <w:sz w:val="24"/>
                <w:szCs w:val="24"/>
              </w:rPr>
            </w:pPr>
            <w:r>
              <w:rPr>
                <w:rFonts w:ascii="Calibri" w:hAnsi="Calibri"/>
                <w:sz w:val="24"/>
                <w:szCs w:val="24"/>
              </w:rPr>
              <w:t>R$ 924,03</w:t>
            </w:r>
          </w:p>
        </w:tc>
        <w:tc>
          <w:tcPr>
            <w:tcW w:w="1431" w:type="dxa"/>
            <w:tcBorders>
              <w:left w:val="single" w:sz="4" w:space="0" w:color="000000"/>
              <w:bottom w:val="single" w:sz="4" w:space="0" w:color="000000"/>
              <w:right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t>R$ 66.530,16</w:t>
            </w:r>
          </w:p>
        </w:tc>
      </w:tr>
      <w:tr>
        <w:trPr>
          <w:trHeight w:val="143" w:hRule="atLeast"/>
        </w:trPr>
        <w:tc>
          <w:tcPr>
            <w:tcW w:w="785"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2411" w:type="dxa"/>
            <w:tcBorders>
              <w:left w:val="single" w:sz="4" w:space="0" w:color="000000"/>
              <w:bottom w:val="single" w:sz="4" w:space="0" w:color="000000"/>
            </w:tcBorders>
            <w:vAlign w:val="center"/>
          </w:tcPr>
          <w:p>
            <w:pPr>
              <w:pStyle w:val="Default"/>
              <w:widowControl w:val="false"/>
              <w:rPr>
                <w:rFonts w:ascii="Calibri" w:hAnsi="Calibri"/>
                <w:sz w:val="24"/>
                <w:szCs w:val="24"/>
              </w:rPr>
            </w:pPr>
            <w:r>
              <w:rPr>
                <w:rFonts w:ascii="Calibri" w:hAnsi="Calibri"/>
                <w:sz w:val="24"/>
                <w:szCs w:val="24"/>
              </w:rPr>
              <w:t>Requisição -</w:t>
            </w:r>
          </w:p>
        </w:tc>
        <w:tc>
          <w:tcPr>
            <w:tcW w:w="6600" w:type="dxa"/>
            <w:gridSpan w:val="7"/>
            <w:tcBorders>
              <w:left w:val="single" w:sz="4" w:space="0" w:color="000000"/>
              <w:bottom w:val="single" w:sz="4" w:space="0" w:color="000000"/>
              <w:right w:val="single" w:sz="4" w:space="0" w:color="000000"/>
            </w:tcBorders>
            <w:vAlign w:val="center"/>
          </w:tcPr>
          <w:p>
            <w:pPr>
              <w:pStyle w:val="Normal"/>
              <w:widowControl w:val="false"/>
              <w:rPr>
                <w:rFonts w:ascii="Calibri" w:hAnsi="Calibri"/>
                <w:sz w:val="24"/>
                <w:szCs w:val="24"/>
              </w:rPr>
            </w:pPr>
            <w:r>
              <w:rPr>
                <w:rFonts w:ascii="Calibri" w:hAnsi="Calibri"/>
                <w:sz w:val="24"/>
                <w:szCs w:val="24"/>
              </w:rPr>
              <w:t>quantidades mínimas e máximas por pedido ao fornecedor. Isso possibilita ao fornecedor conhecer a demanda da Administração e adequar a sua logística para atender tal demanda</w:t>
            </w:r>
          </w:p>
        </w:tc>
      </w:tr>
      <w:tr>
        <w:trPr>
          <w:trHeight w:val="143" w:hRule="atLeast"/>
        </w:trPr>
        <w:tc>
          <w:tcPr>
            <w:tcW w:w="785" w:type="dxa"/>
            <w:tcBorders>
              <w:left w:val="single" w:sz="4" w:space="0" w:color="000000"/>
              <w:bottom w:val="single" w:sz="4" w:space="0" w:color="000000"/>
            </w:tcBorders>
            <w:vAlign w:val="center"/>
          </w:tcPr>
          <w:p>
            <w:pPr>
              <w:pStyle w:val="Normal"/>
              <w:widowControl w:val="false"/>
              <w:jc w:val="center"/>
              <w:rPr>
                <w:rFonts w:ascii="Calibri" w:hAnsi="Calibri"/>
                <w:sz w:val="24"/>
                <w:szCs w:val="24"/>
              </w:rPr>
            </w:pPr>
            <w:r>
              <w:rPr>
                <w:rFonts w:ascii="Calibri" w:hAnsi="Calibri"/>
                <w:sz w:val="24"/>
                <w:szCs w:val="24"/>
              </w:rPr>
            </w:r>
          </w:p>
        </w:tc>
        <w:tc>
          <w:tcPr>
            <w:tcW w:w="2411" w:type="dxa"/>
            <w:tcBorders>
              <w:left w:val="single" w:sz="4" w:space="0" w:color="000000"/>
              <w:bottom w:val="single" w:sz="4" w:space="0" w:color="000000"/>
            </w:tcBorders>
            <w:vAlign w:val="center"/>
          </w:tcPr>
          <w:p>
            <w:pPr>
              <w:pStyle w:val="Default"/>
              <w:widowControl w:val="false"/>
              <w:rPr>
                <w:rFonts w:ascii="Calibri" w:hAnsi="Calibri"/>
                <w:sz w:val="24"/>
                <w:szCs w:val="24"/>
              </w:rPr>
            </w:pPr>
            <w:r>
              <w:rPr>
                <w:rFonts w:ascii="Calibri" w:hAnsi="Calibri"/>
                <w:sz w:val="24"/>
                <w:szCs w:val="24"/>
              </w:rPr>
              <w:t>Quantidade total -</w:t>
            </w:r>
          </w:p>
        </w:tc>
        <w:tc>
          <w:tcPr>
            <w:tcW w:w="6600" w:type="dxa"/>
            <w:gridSpan w:val="7"/>
            <w:tcBorders>
              <w:left w:val="single" w:sz="4" w:space="0" w:color="000000"/>
              <w:bottom w:val="single" w:sz="4" w:space="0" w:color="000000"/>
              <w:right w:val="single" w:sz="4" w:space="0" w:color="000000"/>
            </w:tcBorders>
            <w:vAlign w:val="center"/>
          </w:tcPr>
          <w:p>
            <w:pPr>
              <w:pStyle w:val="Normal"/>
              <w:widowControl w:val="false"/>
              <w:rPr>
                <w:rFonts w:ascii="Calibri" w:hAnsi="Calibri"/>
                <w:sz w:val="24"/>
                <w:szCs w:val="24"/>
              </w:rPr>
            </w:pPr>
            <w:r>
              <w:rPr>
                <w:rFonts w:ascii="Calibri" w:hAnsi="Calibri"/>
                <w:sz w:val="24"/>
                <w:szCs w:val="24"/>
              </w:rPr>
              <w:t>quantidade total para 12 meses</w:t>
            </w:r>
            <w:bookmarkStart w:id="2" w:name="_Hlk209288895"/>
            <w:bookmarkEnd w:id="2"/>
          </w:p>
        </w:tc>
      </w:tr>
    </w:tbl>
    <w:p>
      <w:pPr>
        <w:pStyle w:val="Normal"/>
        <w:spacing w:lineRule="auto" w:line="276" w:before="0" w:after="120"/>
        <w:jc w:val="both"/>
        <w:rPr>
          <w:rFonts w:ascii="Calibri" w:hAnsi="Calibri" w:eastAsia="Times New Roman" w:cs="Arial"/>
          <w:b/>
          <w:i/>
          <w:i/>
          <w:color w:val="FF0000"/>
          <w:sz w:val="24"/>
          <w:szCs w:val="24"/>
          <w:highlight w:val="cyan"/>
        </w:rPr>
      </w:pPr>
      <w:r>
        <w:rPr>
          <w:rFonts w:eastAsia="Times New Roman" w:cs="Arial" w:ascii="Calibri" w:hAnsi="Calibri"/>
          <w:b/>
          <w:i/>
          <w:color w:val="FF0000"/>
          <w:sz w:val="24"/>
          <w:szCs w:val="24"/>
          <w:highlight w:val="cyan"/>
        </w:rPr>
      </w:r>
    </w:p>
    <w:p>
      <w:pPr>
        <w:pStyle w:val="Normal"/>
        <w:spacing w:lineRule="auto" w:line="276" w:before="0" w:after="120"/>
        <w:jc w:val="both"/>
        <w:rPr>
          <w:rFonts w:ascii="Calibri" w:hAnsi="Calibri" w:eastAsia="Times New Roman" w:cs="Arial"/>
          <w:b/>
          <w:i/>
          <w:i/>
          <w:color w:val="FF0000"/>
          <w:sz w:val="24"/>
          <w:szCs w:val="24"/>
          <w:highlight w:val="cyan"/>
        </w:rPr>
      </w:pPr>
      <w:r>
        <w:rPr>
          <w:rFonts w:eastAsia="Times New Roman" w:cs="Arial" w:ascii="Calibri" w:hAnsi="Calibri"/>
          <w:b/>
          <w:i/>
          <w:color w:val="FF0000"/>
          <w:sz w:val="24"/>
          <w:szCs w:val="24"/>
          <w:highlight w:val="cyan"/>
        </w:rPr>
      </w:r>
    </w:p>
    <w:p>
      <w:pPr>
        <w:pStyle w:val="Nvel2-Opcional"/>
        <w:numPr>
          <w:ilvl w:val="1"/>
          <w:numId w:val="3"/>
        </w:numPr>
        <w:rPr>
          <w:rFonts w:ascii="Calibri" w:hAnsi="Calibri"/>
          <w:sz w:val="24"/>
          <w:szCs w:val="24"/>
        </w:rPr>
      </w:pPr>
      <w:bookmarkStart w:id="3" w:name="_Hlk171370816"/>
      <w:r>
        <w:rPr>
          <w:i w:val="false"/>
          <w:iCs w:val="false"/>
          <w:color w:val="auto"/>
          <w:sz w:val="24"/>
          <w:szCs w:val="24"/>
        </w:rPr>
        <w:t>Os bens objeto desta contratação são caracterizados como comuns, conforme justificativa constante do Estudo Técnico Preliminar.</w:t>
      </w:r>
      <w:bookmarkEnd w:id="3"/>
    </w:p>
    <w:p>
      <w:pPr>
        <w:pStyle w:val="Nvel2-Opcional"/>
        <w:numPr>
          <w:ilvl w:val="1"/>
          <w:numId w:val="3"/>
        </w:numPr>
        <w:rPr>
          <w:rFonts w:ascii="Calibri" w:hAnsi="Calibri"/>
          <w:sz w:val="24"/>
          <w:szCs w:val="24"/>
        </w:rPr>
      </w:pPr>
      <w:bookmarkStart w:id="4" w:name="_Hlk176363679"/>
      <w:r>
        <w:rPr>
          <w:i w:val="false"/>
          <w:iCs w:val="false"/>
          <w:color w:val="auto"/>
          <w:sz w:val="24"/>
          <w:szCs w:val="24"/>
        </w:rPr>
        <w:t>O objeto desta contratação não se enquadra como bem de luxo, conforme Decreto nº 10.818, de 27 de setembro de 2021.</w:t>
      </w:r>
      <w:bookmarkEnd w:id="4"/>
    </w:p>
    <w:p>
      <w:pPr>
        <w:pStyle w:val="Nvel2-Opcional"/>
        <w:numPr>
          <w:ilvl w:val="1"/>
          <w:numId w:val="3"/>
        </w:numPr>
        <w:rPr>
          <w:rFonts w:ascii="Calibri" w:hAnsi="Calibri"/>
          <w:sz w:val="24"/>
          <w:szCs w:val="24"/>
        </w:rPr>
      </w:pPr>
      <w:r>
        <w:rPr>
          <w:i w:val="false"/>
          <w:iCs w:val="false"/>
          <w:color w:val="auto"/>
          <w:sz w:val="24"/>
          <w:szCs w:val="24"/>
        </w:rPr>
        <w:t>O prazo de vigência da contratação é de</w:t>
      </w:r>
      <w:r>
        <w:rPr>
          <w:rFonts w:ascii="Calibri" w:hAnsi="Calibri"/>
          <w:i w:val="false"/>
          <w:iCs w:val="false"/>
          <w:color w:val="000000"/>
          <w:sz w:val="24"/>
          <w:szCs w:val="24"/>
        </w:rPr>
        <w:t xml:space="preserve">de </w:t>
      </w:r>
      <w:r>
        <w:rPr>
          <w:rFonts w:ascii="Calibri" w:hAnsi="Calibri"/>
          <w:b/>
          <w:bCs/>
          <w:i w:val="false"/>
          <w:iCs w:val="false"/>
          <w:color w:val="000000"/>
          <w:sz w:val="24"/>
          <w:szCs w:val="24"/>
        </w:rPr>
        <w:t xml:space="preserve">60 </w:t>
      </w:r>
      <w:r>
        <w:rPr>
          <w:rFonts w:ascii="Calibri" w:hAnsi="Calibri"/>
          <w:b/>
          <w:bCs/>
          <w:i w:val="false"/>
          <w:iCs w:val="false"/>
          <w:color w:val="000000"/>
          <w:sz w:val="24"/>
          <w:szCs w:val="24"/>
        </w:rPr>
        <w:t>(sessenta)</w:t>
      </w:r>
      <w:r>
        <w:rPr>
          <w:rFonts w:ascii="Calibri" w:hAnsi="Calibri"/>
          <w:b/>
          <w:bCs/>
          <w:i w:val="false"/>
          <w:iCs w:val="false"/>
          <w:color w:val="000000"/>
          <w:sz w:val="24"/>
          <w:szCs w:val="24"/>
        </w:rPr>
        <w:t xml:space="preserve"> </w:t>
      </w:r>
      <w:r>
        <w:rPr>
          <w:rFonts w:ascii="Calibri" w:hAnsi="Calibri"/>
          <w:b/>
          <w:bCs/>
          <w:i w:val="false"/>
          <w:iCs w:val="false"/>
          <w:color w:val="000000"/>
          <w:sz w:val="24"/>
          <w:szCs w:val="24"/>
        </w:rPr>
        <w:t>dias</w:t>
      </w:r>
      <w:r>
        <w:rPr>
          <w:rFonts w:ascii="Calibri" w:hAnsi="Calibri"/>
          <w:i w:val="false"/>
          <w:iCs w:val="false"/>
          <w:color w:val="000000"/>
          <w:sz w:val="24"/>
          <w:szCs w:val="24"/>
        </w:rPr>
        <w:t>,</w:t>
      </w:r>
      <w:r>
        <w:rPr>
          <w:rFonts w:ascii="Calibri" w:hAnsi="Calibri"/>
          <w:i w:val="false"/>
          <w:iCs w:val="false"/>
          <w:color w:val="000000"/>
          <w:sz w:val="24"/>
          <w:szCs w:val="24"/>
        </w:rPr>
        <w:t xml:space="preserve"> contados do recebimento da Nota de Empenho, na forma do artigo 105 da Lei n° 14.133, de 2021.</w:t>
      </w:r>
    </w:p>
    <w:p>
      <w:pPr>
        <w:pStyle w:val="Nvel02"/>
        <w:numPr>
          <w:ilvl w:val="1"/>
          <w:numId w:val="3"/>
        </w:numPr>
        <w:ind w:hanging="0" w:left="0"/>
        <w:rPr>
          <w:rFonts w:ascii="Calibri" w:hAnsi="Calibri"/>
          <w:sz w:val="24"/>
          <w:szCs w:val="24"/>
        </w:rPr>
      </w:pPr>
      <w:r>
        <w:rPr>
          <w:sz w:val="24"/>
          <w:szCs w:val="24"/>
        </w:rPr>
        <w:t>O contrato ou outro instrumento hábil que o substitua oferece maior detalhamento das regras que serão aplicadas em relação à vigência da contratação.</w:t>
      </w:r>
    </w:p>
    <w:p>
      <w:pPr>
        <w:pStyle w:val="Nvel02"/>
        <w:numPr>
          <w:ilvl w:val="1"/>
          <w:numId w:val="3"/>
        </w:numPr>
        <w:ind w:hanging="0" w:left="0"/>
        <w:rPr>
          <w:rFonts w:ascii="Calibri" w:hAnsi="Calibri"/>
          <w:sz w:val="24"/>
          <w:szCs w:val="24"/>
        </w:rPr>
      </w:pPr>
      <w:r>
        <w:rPr>
          <w:rFonts w:ascii="Calibri" w:hAnsi="Calibri"/>
          <w:color w:val="000000"/>
          <w:sz w:val="24"/>
          <w:szCs w:val="24"/>
        </w:rPr>
        <w:t>Em caso de divergência entre o estabelecido no CATMAT e este Termo de Referência, prevalece o descrito neste documento.</w:t>
      </w:r>
    </w:p>
    <w:p>
      <w:pPr>
        <w:pStyle w:val="Nivel01"/>
        <w:numPr>
          <w:ilvl w:val="0"/>
          <w:numId w:val="3"/>
        </w:numPr>
        <w:ind w:hanging="357" w:left="357"/>
        <w:rPr>
          <w:rFonts w:ascii="Calibri" w:hAnsi="Calibri"/>
          <w:sz w:val="24"/>
          <w:szCs w:val="24"/>
        </w:rPr>
      </w:pPr>
      <w:r>
        <w:rPr>
          <w:rFonts w:ascii="Calibri" w:hAnsi="Calibri"/>
          <w:sz w:val="24"/>
          <w:szCs w:val="24"/>
        </w:rPr>
        <w:t>FUNDAMENTAÇÃO E DESCRIÇÃO DA NECESSIDADE DA CONTRATAÇÃO</w:t>
      </w:r>
    </w:p>
    <w:p>
      <w:pPr>
        <w:pStyle w:val="Nvel02"/>
        <w:numPr>
          <w:ilvl w:val="1"/>
          <w:numId w:val="3"/>
        </w:numPr>
        <w:ind w:hanging="0" w:left="0"/>
        <w:rPr>
          <w:rFonts w:ascii="Calibri" w:hAnsi="Calibri"/>
          <w:sz w:val="24"/>
          <w:szCs w:val="24"/>
        </w:rPr>
      </w:pPr>
      <w:bookmarkStart w:id="5" w:name="_Hlk170988156"/>
      <w:commentRangeStart w:id="1"/>
      <w:r>
        <w:rPr>
          <w:sz w:val="24"/>
          <w:szCs w:val="24"/>
        </w:rPr>
        <w:t>A Fundamentação da Contratação e de seus quantitativos encontra-se pormenorizada em tópico específico dos Estudos Técnicos Preliminares, apêndice deste Termo de Referência.</w:t>
      </w:r>
      <w:bookmarkEnd w:id="5"/>
      <w:commentRangeEnd w:id="1"/>
      <w:r>
        <w:commentReference w:id="1"/>
      </w:r>
      <w:r>
        <w:rPr>
          <w:sz w:val="24"/>
          <w:szCs w:val="24"/>
        </w:rPr>
      </w:r>
    </w:p>
    <w:p>
      <w:pPr>
        <w:pStyle w:val="Nvel2-Opcional"/>
        <w:numPr>
          <w:ilvl w:val="1"/>
          <w:numId w:val="3"/>
        </w:numPr>
        <w:rPr>
          <w:rFonts w:ascii="Calibri" w:hAnsi="Calibri"/>
          <w:sz w:val="24"/>
          <w:szCs w:val="24"/>
        </w:rPr>
      </w:pPr>
      <w:r>
        <w:rPr>
          <w:i w:val="false"/>
          <w:iCs w:val="false"/>
          <w:color w:val="auto"/>
          <w:sz w:val="24"/>
          <w:szCs w:val="24"/>
        </w:rPr>
        <w:t>O objeto da contratação está previsto no Plano de Aplicação de Recursos deste Organização Militar.</w:t>
      </w:r>
    </w:p>
    <w:p>
      <w:pPr>
        <w:pStyle w:val="Nivel01"/>
        <w:numPr>
          <w:ilvl w:val="0"/>
          <w:numId w:val="3"/>
        </w:numPr>
        <w:ind w:hanging="357" w:left="357"/>
        <w:rPr>
          <w:rFonts w:ascii="Calibri" w:hAnsi="Calibri"/>
          <w:sz w:val="24"/>
          <w:szCs w:val="24"/>
        </w:rPr>
      </w:pPr>
      <w:r>
        <w:rPr>
          <w:rFonts w:ascii="Calibri" w:hAnsi="Calibri"/>
          <w:sz w:val="24"/>
          <w:szCs w:val="24"/>
        </w:rPr>
        <w:t>DESCRIÇÃO DA SOLUÇÃO COMO UM TODO CONSIDERADO O CICLO DE VIDA DO OBJETO E ESPECIFICAÇÃO DO PRODUTO</w:t>
      </w:r>
    </w:p>
    <w:p>
      <w:pPr>
        <w:pStyle w:val="Nvel02"/>
        <w:numPr>
          <w:ilvl w:val="1"/>
          <w:numId w:val="3"/>
        </w:numPr>
        <w:ind w:hanging="0" w:left="0"/>
        <w:rPr>
          <w:rFonts w:ascii="Calibri" w:hAnsi="Calibri"/>
          <w:sz w:val="24"/>
          <w:szCs w:val="24"/>
        </w:rPr>
      </w:pPr>
      <w:bookmarkStart w:id="6" w:name="_Ref121236534"/>
      <w:commentRangeStart w:id="2"/>
      <w:r>
        <w:rPr>
          <w:sz w:val="24"/>
          <w:szCs w:val="24"/>
        </w:rPr>
        <w:t>A descrição da solução como um todo encontra-se pormenorizada em tópico específico dos Estudos Técnicos Preliminares, apêndice deste Termo de Referência.</w:t>
      </w:r>
      <w:bookmarkEnd w:id="6"/>
      <w:commentRangeEnd w:id="2"/>
      <w:r>
        <w:commentReference w:id="2"/>
      </w:r>
      <w:r>
        <w:rPr>
          <w:sz w:val="24"/>
          <w:szCs w:val="24"/>
        </w:rPr>
      </w:r>
    </w:p>
    <w:p>
      <w:pPr>
        <w:pStyle w:val="Nivel01"/>
        <w:numPr>
          <w:ilvl w:val="0"/>
          <w:numId w:val="3"/>
        </w:numPr>
        <w:ind w:hanging="357" w:left="357"/>
        <w:rPr>
          <w:rFonts w:ascii="Calibri" w:hAnsi="Calibri"/>
          <w:sz w:val="24"/>
          <w:szCs w:val="24"/>
        </w:rPr>
      </w:pPr>
      <w:commentRangeStart w:id="3"/>
      <w:r>
        <w:rPr>
          <w:rFonts w:ascii="Calibri" w:hAnsi="Calibri"/>
          <w:sz w:val="24"/>
          <w:szCs w:val="24"/>
        </w:rPr>
        <w:t>REQUISITOS DA CONTRATAÇÃO</w:t>
      </w:r>
      <w:commentRangeEnd w:id="3"/>
      <w:r>
        <w:commentReference w:id="3"/>
      </w:r>
      <w:r>
        <w:rPr>
          <w:rFonts w:ascii="Calibri" w:hAnsi="Calibri"/>
          <w:sz w:val="24"/>
          <w:szCs w:val="24"/>
        </w:rPr>
      </w:r>
    </w:p>
    <w:p>
      <w:pPr>
        <w:pStyle w:val="Nvel1-SemNum"/>
        <w:ind w:hanging="0" w:left="0"/>
        <w:rPr>
          <w:rFonts w:ascii="Calibri" w:hAnsi="Calibri"/>
          <w:sz w:val="24"/>
          <w:szCs w:val="24"/>
        </w:rPr>
      </w:pPr>
      <w:commentRangeStart w:id="4"/>
      <w:r>
        <w:rPr>
          <w:rFonts w:ascii="Calibri" w:hAnsi="Calibri"/>
          <w:sz w:val="24"/>
          <w:szCs w:val="24"/>
        </w:rPr>
        <w:t>Sustentabilidade</w:t>
      </w:r>
      <w:commentRangeEnd w:id="4"/>
      <w:r>
        <w:commentReference w:id="4"/>
      </w:r>
      <w:r>
        <w:rPr>
          <w:rFonts w:ascii="Calibri" w:hAnsi="Calibri"/>
          <w:sz w:val="24"/>
          <w:szCs w:val="24"/>
        </w:rPr>
      </w:r>
    </w:p>
    <w:p>
      <w:pPr>
        <w:pStyle w:val="Nvel2-Opcional"/>
        <w:numPr>
          <w:ilvl w:val="1"/>
          <w:numId w:val="3"/>
        </w:numPr>
        <w:rPr>
          <w:rFonts w:ascii="Calibri" w:hAnsi="Calibri"/>
          <w:sz w:val="24"/>
          <w:szCs w:val="24"/>
        </w:rPr>
      </w:pPr>
      <w:r>
        <w:rPr>
          <w:i w:val="false"/>
          <w:iCs w:val="false"/>
          <w:color w:val="auto"/>
          <w:sz w:val="24"/>
          <w:szCs w:val="24"/>
        </w:rPr>
        <w:t>Além dos critérios de sustentabilidade eventualmente inseridos na descrição do objeto, devem ser atendidos os seguintes requisitos, que se baseiam no Guia Nacional de Contratações Sustentáveis:</w:t>
      </w:r>
    </w:p>
    <w:p>
      <w:pPr>
        <w:pStyle w:val="Nvel3-Opcional"/>
        <w:numPr>
          <w:ilvl w:val="2"/>
          <w:numId w:val="103"/>
        </w:numPr>
        <w:ind w:hanging="0" w:left="284"/>
        <w:rPr>
          <w:rFonts w:ascii="Calibri" w:hAnsi="Calibri"/>
          <w:sz w:val="24"/>
          <w:szCs w:val="24"/>
        </w:rPr>
      </w:pPr>
      <w:r>
        <w:rPr>
          <w:rFonts w:ascii="Calibri" w:hAnsi="Calibri"/>
          <w:i w:val="false"/>
          <w:iCs/>
          <w:color w:val="auto"/>
          <w:sz w:val="24"/>
          <w:szCs w:val="24"/>
        </w:rPr>
        <w:t>Que o fornecimento das pastilhas detergente e descalcificante observe práticas sustentáveis de produção e distribuição, priorizando fabricantes que adotem medidas de redução de impacto ambiental, tais como controle de efluentes, redução de emissões atmosféricas e manejo adequado de resíduos; e</w:t>
      </w:r>
    </w:p>
    <w:p>
      <w:pPr>
        <w:pStyle w:val="Nvel3-Opcional"/>
        <w:numPr>
          <w:ilvl w:val="2"/>
          <w:numId w:val="104"/>
        </w:numPr>
        <w:ind w:hanging="0" w:left="284"/>
        <w:rPr>
          <w:rFonts w:ascii="Calibri" w:hAnsi="Calibri"/>
          <w:sz w:val="24"/>
          <w:szCs w:val="24"/>
        </w:rPr>
      </w:pPr>
      <w:r>
        <w:rPr>
          <w:rFonts w:ascii="Calibri" w:hAnsi="Calibri"/>
          <w:i w:val="false"/>
          <w:iCs/>
          <w:color w:val="auto"/>
          <w:sz w:val="24"/>
          <w:szCs w:val="24"/>
        </w:rPr>
        <w:t>Que as embalagens sejam recicláveis ou reutilizáveis, e que o fornecedor adote, sempre que possível, políticas de logística reversa para o descarte responsável</w:t>
      </w:r>
    </w:p>
    <w:p>
      <w:pPr>
        <w:pStyle w:val="Nvel1-SemNum"/>
        <w:ind w:hanging="0" w:left="0"/>
        <w:rPr>
          <w:rFonts w:ascii="Calibri" w:hAnsi="Calibri"/>
          <w:sz w:val="24"/>
          <w:szCs w:val="24"/>
        </w:rPr>
      </w:pPr>
      <w:r>
        <w:rPr>
          <w:rFonts w:ascii="Calibri" w:hAnsi="Calibri"/>
          <w:sz w:val="24"/>
          <w:szCs w:val="24"/>
        </w:rPr>
        <w:t>Indicação de marcas ou modelos</w:t>
      </w:r>
    </w:p>
    <w:p>
      <w:pPr>
        <w:pStyle w:val="Nvel2-Opcional"/>
        <w:numPr>
          <w:ilvl w:val="1"/>
          <w:numId w:val="3"/>
        </w:numPr>
        <w:rPr>
          <w:rFonts w:ascii="Calibri" w:hAnsi="Calibri"/>
          <w:sz w:val="24"/>
          <w:szCs w:val="24"/>
        </w:rPr>
      </w:pPr>
      <w:r>
        <w:rPr>
          <w:i w:val="false"/>
          <w:iCs w:val="false"/>
          <w:color w:val="auto"/>
          <w:sz w:val="24"/>
          <w:szCs w:val="24"/>
        </w:rPr>
        <w:t>Na presente contratação será admitida a indicação da marca RATIONAL, de acordo com as justificativas contidas no item II dos Estudos Técnicos Preliminares.</w:t>
      </w:r>
    </w:p>
    <w:p>
      <w:pPr>
        <w:pStyle w:val="Nvel1-SemNumerao"/>
        <w:ind w:hanging="0" w:left="0"/>
        <w:rPr>
          <w:rFonts w:ascii="Calibri" w:hAnsi="Calibri"/>
          <w:sz w:val="24"/>
          <w:szCs w:val="24"/>
        </w:rPr>
      </w:pPr>
      <w:r>
        <w:rPr>
          <w:rFonts w:ascii="Calibri" w:hAnsi="Calibri"/>
          <w:i w:val="false"/>
          <w:iCs w:val="false"/>
          <w:sz w:val="24"/>
          <w:szCs w:val="24"/>
        </w:rPr>
        <w:t>Subcontratação</w:t>
      </w:r>
    </w:p>
    <w:p>
      <w:pPr>
        <w:pStyle w:val="Nvel2-Opcional"/>
        <w:numPr>
          <w:ilvl w:val="1"/>
          <w:numId w:val="3"/>
        </w:numPr>
        <w:rPr>
          <w:rFonts w:ascii="Calibri" w:hAnsi="Calibri"/>
          <w:sz w:val="24"/>
          <w:szCs w:val="24"/>
        </w:rPr>
      </w:pPr>
      <w:commentRangeStart w:id="5"/>
      <w:r>
        <w:rPr>
          <w:i w:val="false"/>
          <w:iCs w:val="false"/>
          <w:color w:val="auto"/>
          <w:sz w:val="24"/>
          <w:szCs w:val="24"/>
        </w:rPr>
        <w:t>Não será admitida a subcontratação do objeto contratual.</w:t>
      </w:r>
      <w:commentRangeEnd w:id="5"/>
      <w:r>
        <w:commentReference w:id="5"/>
      </w:r>
      <w:r>
        <w:rPr>
          <w:i w:val="false"/>
          <w:iCs w:val="false"/>
          <w:color w:val="auto"/>
          <w:sz w:val="24"/>
          <w:szCs w:val="24"/>
        </w:rPr>
      </w:r>
    </w:p>
    <w:p>
      <w:pPr>
        <w:pStyle w:val="Nvel1-SemNumerao"/>
        <w:ind w:hanging="0" w:left="0"/>
        <w:rPr>
          <w:rFonts w:ascii="Calibri" w:hAnsi="Calibri"/>
          <w:sz w:val="24"/>
          <w:szCs w:val="24"/>
        </w:rPr>
      </w:pPr>
      <w:commentRangeStart w:id="6"/>
      <w:r>
        <w:rPr>
          <w:rFonts w:ascii="Calibri" w:hAnsi="Calibri"/>
          <w:i w:val="false"/>
          <w:iCs w:val="false"/>
          <w:sz w:val="24"/>
          <w:szCs w:val="24"/>
        </w:rPr>
        <w:t>Garantia da contratação</w:t>
      </w:r>
      <w:commentRangeEnd w:id="6"/>
      <w:r>
        <w:commentReference w:id="6"/>
      </w:r>
      <w:r>
        <w:rPr>
          <w:rFonts w:ascii="Calibri" w:hAnsi="Calibri"/>
          <w:i w:val="false"/>
          <w:iCs w:val="false"/>
          <w:sz w:val="24"/>
          <w:szCs w:val="24"/>
        </w:rPr>
      </w:r>
    </w:p>
    <w:p>
      <w:pPr>
        <w:pStyle w:val="Nvel2-Opcional"/>
        <w:numPr>
          <w:ilvl w:val="1"/>
          <w:numId w:val="3"/>
        </w:numPr>
        <w:rPr>
          <w:rFonts w:ascii="Calibri" w:hAnsi="Calibri"/>
          <w:sz w:val="24"/>
          <w:szCs w:val="24"/>
        </w:rPr>
      </w:pPr>
      <w:bookmarkStart w:id="7" w:name="_Hlk170740922"/>
      <w:r>
        <w:rPr>
          <w:i w:val="false"/>
          <w:iCs w:val="false"/>
          <w:color w:val="auto"/>
          <w:sz w:val="24"/>
          <w:szCs w:val="24"/>
        </w:rPr>
        <w:t>Não haverá exigência da garantia da contratação dos art. 96 e seguintes da Lei nº 14.133, de 2021, pelas razões constantes do Estudo Técnico Preliminar.</w:t>
      </w:r>
      <w:bookmarkEnd w:id="7"/>
    </w:p>
    <w:p>
      <w:pPr>
        <w:pStyle w:val="Nivel01"/>
        <w:numPr>
          <w:ilvl w:val="0"/>
          <w:numId w:val="0"/>
        </w:numPr>
        <w:ind w:hanging="0" w:left="0"/>
        <w:rPr>
          <w:rFonts w:ascii="Calibri" w:hAnsi="Calibri"/>
          <w:sz w:val="24"/>
          <w:szCs w:val="24"/>
        </w:rPr>
      </w:pPr>
      <w:r>
        <w:rPr>
          <w:rFonts w:ascii="Calibri" w:hAnsi="Calibri"/>
          <w:iCs w:val="false"/>
          <w:sz w:val="24"/>
          <w:szCs w:val="24"/>
        </w:rPr>
        <w:t>Reserva de cotas para microempresas e empresas de pequeno porte:</w:t>
      </w:r>
    </w:p>
    <w:p>
      <w:pPr>
        <w:pStyle w:val="Nvel2-Opcional"/>
        <w:numPr>
          <w:ilvl w:val="1"/>
          <w:numId w:val="3"/>
        </w:numPr>
        <w:rPr>
          <w:rFonts w:ascii="Calibri" w:hAnsi="Calibri"/>
          <w:sz w:val="24"/>
          <w:szCs w:val="24"/>
        </w:rPr>
      </w:pPr>
      <w:r>
        <w:rPr>
          <w:i w:val="false"/>
          <w:iCs w:val="false"/>
          <w:color w:val="auto"/>
          <w:sz w:val="24"/>
          <w:szCs w:val="24"/>
        </w:rPr>
        <w:t>Na presente licitação, será realizada a reserva de cota de até vinte e cinco por cento do objeto para a contratação de microempresas e empresas de pequeno porte</w:t>
      </w:r>
      <w:r>
        <w:rPr>
          <w:sz w:val="24"/>
          <w:szCs w:val="24"/>
        </w:rPr>
        <w:t>.</w:t>
      </w:r>
    </w:p>
    <w:p>
      <w:pPr>
        <w:pStyle w:val="Nvel3-Opcional"/>
        <w:numPr>
          <w:ilvl w:val="2"/>
          <w:numId w:val="105"/>
        </w:numPr>
        <w:ind w:hanging="0" w:left="284"/>
        <w:rPr>
          <w:rFonts w:ascii="Calibri" w:hAnsi="Calibri"/>
          <w:sz w:val="24"/>
          <w:szCs w:val="24"/>
        </w:rPr>
      </w:pPr>
      <w:r>
        <w:rPr>
          <w:rFonts w:ascii="Calibri" w:hAnsi="Calibri"/>
          <w:i w:val="false"/>
          <w:iCs/>
          <w:color w:val="auto"/>
          <w:sz w:val="24"/>
          <w:szCs w:val="24"/>
        </w:rPr>
        <w:t xml:space="preserve"> </w:t>
      </w:r>
      <w:r>
        <w:rPr>
          <w:rFonts w:ascii="Calibri" w:hAnsi="Calibri"/>
          <w:i w:val="false"/>
          <w:iCs/>
          <w:color w:val="auto"/>
          <w:sz w:val="24"/>
          <w:szCs w:val="24"/>
        </w:rPr>
        <w:t xml:space="preserve">Na hipótese de não haver vencedor para a cota reservada, esta poderá ser adjudicada ao vencedor da cota principal ou, diante de sua recusa, aos fornecedores remanescentes, desde que pratiquem o preço do primeiro colocado da cota </w:t>
      </w:r>
      <w:commentRangeStart w:id="7"/>
      <w:r>
        <w:rPr>
          <w:rFonts w:ascii="Calibri" w:hAnsi="Calibri"/>
          <w:i w:val="false"/>
          <w:iCs/>
          <w:color w:val="auto"/>
          <w:sz w:val="24"/>
          <w:szCs w:val="24"/>
        </w:rPr>
        <w:t>principal</w:t>
      </w:r>
      <w:r>
        <w:rPr>
          <w:rFonts w:ascii="Calibri" w:hAnsi="Calibri"/>
          <w:i w:val="false"/>
          <w:iCs/>
          <w:color w:val="auto"/>
          <w:sz w:val="24"/>
          <w:szCs w:val="24"/>
        </w:rPr>
      </w:r>
      <w:commentRangeEnd w:id="7"/>
      <w:r>
        <w:commentReference w:id="7"/>
      </w:r>
      <w:r>
        <w:rPr>
          <w:rFonts w:ascii="Calibri" w:hAnsi="Calibri"/>
          <w:i w:val="false"/>
          <w:iCs/>
          <w:color w:val="auto"/>
          <w:sz w:val="24"/>
          <w:szCs w:val="24"/>
        </w:rPr>
        <w:t>.</w:t>
      </w:r>
    </w:p>
    <w:p>
      <w:pPr>
        <w:pStyle w:val="Nvel3-Opcional"/>
        <w:numPr>
          <w:ilvl w:val="2"/>
          <w:numId w:val="106"/>
        </w:numPr>
        <w:ind w:hanging="0" w:left="284"/>
        <w:rPr>
          <w:rFonts w:ascii="Calibri" w:hAnsi="Calibri"/>
          <w:sz w:val="24"/>
          <w:szCs w:val="24"/>
        </w:rPr>
      </w:pPr>
      <w:r>
        <w:rPr>
          <w:rFonts w:ascii="Calibri" w:hAnsi="Calibri"/>
          <w:i w:val="false"/>
          <w:iCs/>
          <w:color w:val="auto"/>
          <w:sz w:val="24"/>
          <w:szCs w:val="24"/>
        </w:rPr>
        <w:t>Se a mesma empresa vencer a cota reservada e a cota principal, a contratação das cotas deverá ocorrer pelo menor preço.</w:t>
      </w:r>
    </w:p>
    <w:p>
      <w:pPr>
        <w:pStyle w:val="Nvel3-Opcional"/>
        <w:numPr>
          <w:ilvl w:val="2"/>
          <w:numId w:val="107"/>
        </w:numPr>
        <w:ind w:hanging="0" w:left="284"/>
        <w:rPr>
          <w:rFonts w:ascii="Calibri" w:hAnsi="Calibri"/>
          <w:sz w:val="24"/>
          <w:szCs w:val="24"/>
        </w:rPr>
      </w:pPr>
      <w:r>
        <w:rPr>
          <w:rFonts w:ascii="Calibri" w:hAnsi="Calibri"/>
          <w:i w:val="false"/>
          <w:iCs/>
          <w:color w:val="auto"/>
          <w:sz w:val="24"/>
          <w:szCs w:val="24"/>
        </w:rPr>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pPr>
        <w:pStyle w:val="Nivel01"/>
        <w:numPr>
          <w:ilvl w:val="0"/>
          <w:numId w:val="3"/>
        </w:numPr>
        <w:ind w:hanging="357" w:left="357"/>
        <w:rPr>
          <w:rFonts w:ascii="Calibri" w:hAnsi="Calibri"/>
          <w:sz w:val="24"/>
          <w:szCs w:val="24"/>
        </w:rPr>
      </w:pPr>
      <w:commentRangeStart w:id="8"/>
      <w:r>
        <w:rPr>
          <w:rFonts w:ascii="Calibri" w:hAnsi="Calibri"/>
          <w:sz w:val="24"/>
          <w:szCs w:val="24"/>
        </w:rPr>
        <w:t xml:space="preserve">MODELO </w:t>
      </w:r>
      <w:r>
        <w:rPr>
          <w:rFonts w:ascii="Calibri" w:hAnsi="Calibri"/>
          <w:sz w:val="24"/>
          <w:szCs w:val="24"/>
        </w:rPr>
      </w:r>
      <w:commentRangeEnd w:id="8"/>
      <w:r>
        <w:commentReference w:id="8"/>
      </w:r>
      <w:r>
        <w:rPr>
          <w:rFonts w:ascii="Calibri" w:hAnsi="Calibri"/>
          <w:sz w:val="24"/>
          <w:szCs w:val="24"/>
        </w:rPr>
        <w:t>DE EXECUÇÃO DO OBJETO</w:t>
      </w:r>
    </w:p>
    <w:p>
      <w:pPr>
        <w:pStyle w:val="Nvel1-SemNumerao"/>
        <w:ind w:hanging="0" w:left="0"/>
        <w:rPr>
          <w:rFonts w:ascii="Calibri" w:hAnsi="Calibri"/>
          <w:sz w:val="24"/>
          <w:szCs w:val="24"/>
        </w:rPr>
      </w:pPr>
      <w:r>
        <w:rPr>
          <w:rFonts w:ascii="Calibri" w:hAnsi="Calibri"/>
          <w:sz w:val="24"/>
          <w:szCs w:val="24"/>
        </w:rPr>
        <w:t>Condições de Entrega</w:t>
      </w:r>
    </w:p>
    <w:p>
      <w:pPr>
        <w:pStyle w:val="Nvel2-Opcional"/>
        <w:numPr>
          <w:ilvl w:val="1"/>
          <w:numId w:val="3"/>
        </w:numPr>
        <w:rPr>
          <w:rFonts w:ascii="Calibri" w:hAnsi="Calibri"/>
          <w:sz w:val="24"/>
          <w:szCs w:val="24"/>
        </w:rPr>
      </w:pPr>
      <w:commentRangeStart w:id="9"/>
      <w:r>
        <w:rPr>
          <w:i w:val="false"/>
          <w:iCs w:val="false"/>
          <w:color w:val="auto"/>
          <w:sz w:val="24"/>
          <w:szCs w:val="24"/>
        </w:rPr>
        <w:t>As parcelas serão entregues nos seguintes prazos e condições:</w:t>
      </w:r>
      <w:commentRangeEnd w:id="9"/>
      <w:r>
        <w:commentReference w:id="9"/>
      </w:r>
      <w:r>
        <w:rPr>
          <w:i w:val="false"/>
          <w:iCs w:val="false"/>
          <w:color w:val="auto"/>
          <w:sz w:val="24"/>
          <w:szCs w:val="24"/>
        </w:rPr>
      </w:r>
    </w:p>
    <w:tbl>
      <w:tblPr>
        <w:tblStyle w:val="Tabelacomgrade"/>
        <w:tblW w:w="963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411"/>
        <w:gridCol w:w="4629"/>
        <w:gridCol w:w="3598"/>
      </w:tblGrid>
      <w:tr>
        <w:trPr/>
        <w:tc>
          <w:tcPr>
            <w:tcW w:w="1411" w:type="dxa"/>
            <w:tcBorders/>
            <w:shd w:fill="DEDCE6"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b/>
                <w:bCs/>
                <w:kern w:val="0"/>
                <w:sz w:val="24"/>
                <w:szCs w:val="24"/>
                <w:lang w:val="pt-BR" w:bidi="ar-SA"/>
              </w:rPr>
              <w:t>PARCELA</w:t>
            </w:r>
          </w:p>
        </w:tc>
        <w:tc>
          <w:tcPr>
            <w:tcW w:w="4629" w:type="dxa"/>
            <w:tcBorders/>
            <w:shd w:fill="DEDCE6"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b/>
                <w:bCs/>
                <w:kern w:val="0"/>
                <w:sz w:val="24"/>
                <w:szCs w:val="24"/>
                <w:lang w:val="pt-BR" w:bidi="ar-SA"/>
              </w:rPr>
              <w:t>COMPOSIÇÃO DA PARCELA</w:t>
            </w:r>
          </w:p>
        </w:tc>
        <w:tc>
          <w:tcPr>
            <w:tcW w:w="3598" w:type="dxa"/>
            <w:tcBorders/>
            <w:shd w:fill="DEDCE6"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b/>
                <w:bCs/>
                <w:kern w:val="0"/>
                <w:sz w:val="24"/>
                <w:szCs w:val="24"/>
                <w:lang w:val="pt-BR" w:bidi="ar-SA"/>
              </w:rPr>
              <w:t>PRAZO DE ENTREGA</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1ª</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30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2ª</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60 dias após a assinatura do contrato</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3ª</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90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4ª</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120 dias após a assinatura do contrato</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5ª</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150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6ª</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180 dias após a assinatura do contrato</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7ª</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210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8º</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240 dias após a assinatura do contrato</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9º</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270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10ª</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300 dias após a assinatura do contrato</w:t>
            </w:r>
          </w:p>
        </w:tc>
      </w:tr>
      <w:tr>
        <w:trPr/>
        <w:tc>
          <w:tcPr>
            <w:tcW w:w="1411"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11ª</w:t>
            </w:r>
          </w:p>
        </w:tc>
        <w:tc>
          <w:tcPr>
            <w:tcW w:w="4629"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330 dias após a assinatura do contrato</w:t>
            </w:r>
          </w:p>
        </w:tc>
      </w:tr>
      <w:tr>
        <w:trPr/>
        <w:tc>
          <w:tcPr>
            <w:tcW w:w="1411"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12ª</w:t>
            </w:r>
          </w:p>
        </w:tc>
        <w:tc>
          <w:tcPr>
            <w:tcW w:w="4629"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color w:val="auto"/>
                <w:kern w:val="0"/>
                <w:sz w:val="24"/>
                <w:szCs w:val="24"/>
                <w:lang w:val="pt-BR" w:eastAsia="pt-BR" w:bidi="ar-SA"/>
              </w:rPr>
              <w:t>1</w:t>
            </w:r>
            <w:r>
              <w:rPr>
                <w:rFonts w:eastAsia="ＭＳ 明朝" w:cs="Arial" w:ascii="Calibri" w:hAnsi="Calibri"/>
                <w:kern w:val="0"/>
                <w:sz w:val="24"/>
                <w:szCs w:val="24"/>
                <w:lang w:val="pt-BR" w:bidi="ar-SA"/>
              </w:rPr>
              <w:t xml:space="preserve"> balde da pastilha descalcificante e 3 baldes da pastilha detergente</w:t>
            </w:r>
          </w:p>
        </w:tc>
        <w:tc>
          <w:tcPr>
            <w:tcW w:w="3598" w:type="dxa"/>
            <w:tcBorders/>
            <w:shd w:fill="DEE7E5" w:val="clear"/>
          </w:tcPr>
          <w:p>
            <w:pPr>
              <w:pStyle w:val="Normal"/>
              <w:widowControl w:val="false"/>
              <w:suppressAutoHyphens w:val="true"/>
              <w:spacing w:lineRule="auto" w:line="288" w:before="120" w:after="120"/>
              <w:jc w:val="center"/>
              <w:rPr>
                <w:rFonts w:ascii="Calibri" w:hAnsi="Calibri"/>
                <w:sz w:val="24"/>
                <w:szCs w:val="24"/>
              </w:rPr>
            </w:pPr>
            <w:r>
              <w:rPr>
                <w:rFonts w:eastAsia="ＭＳ 明朝" w:cs="Arial" w:ascii="Calibri" w:hAnsi="Calibri"/>
                <w:kern w:val="0"/>
                <w:sz w:val="24"/>
                <w:szCs w:val="24"/>
                <w:lang w:val="pt-BR" w:bidi="ar-SA"/>
              </w:rPr>
              <w:t>360 dias após a assinatura do contrato</w:t>
            </w:r>
          </w:p>
        </w:tc>
      </w:tr>
    </w:tbl>
    <w:p>
      <w:pPr>
        <w:pStyle w:val="Nvel2-Opcional"/>
        <w:numPr>
          <w:ilvl w:val="1"/>
          <w:numId w:val="3"/>
        </w:numPr>
        <w:rPr>
          <w:rFonts w:ascii="Calibri" w:hAnsi="Calibri"/>
          <w:sz w:val="24"/>
          <w:szCs w:val="24"/>
        </w:rPr>
      </w:pPr>
      <w:r>
        <w:rPr>
          <w:i w:val="false"/>
          <w:iCs w:val="false"/>
          <w:color w:val="auto"/>
          <w:sz w:val="24"/>
          <w:szCs w:val="24"/>
        </w:rPr>
        <w:t>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pPr>
        <w:pStyle w:val="Nvel2-Opcional"/>
        <w:numPr>
          <w:ilvl w:val="1"/>
          <w:numId w:val="3"/>
        </w:numPr>
        <w:rPr>
          <w:rFonts w:ascii="Calibri" w:hAnsi="Calibri"/>
          <w:sz w:val="24"/>
          <w:szCs w:val="24"/>
        </w:rPr>
      </w:pPr>
      <w:commentRangeStart w:id="10"/>
      <w:commentRangeStart w:id="11"/>
      <w:r>
        <w:rPr>
          <w:i w:val="false"/>
          <w:iCs w:val="false"/>
          <w:color w:val="000000"/>
          <w:sz w:val="24"/>
          <w:szCs w:val="24"/>
          <w:shd w:fill="auto" w:val="clear"/>
        </w:rPr>
        <w:t>Os bens deverão ser entregues no seguinte endereço</w:t>
      </w:r>
      <w:r>
        <w:rPr>
          <w:i w:val="false"/>
          <w:iCs w:val="false"/>
          <w:color w:val="000000"/>
          <w:sz w:val="24"/>
          <w:szCs w:val="24"/>
          <w:shd w:fill="auto" w:val="clear"/>
        </w:rPr>
      </w:r>
      <w:commentRangeEnd w:id="11"/>
      <w:r>
        <w:commentReference w:id="11"/>
      </w:r>
      <w:r>
        <w:rPr>
          <w:i w:val="false"/>
          <w:iCs w:val="false"/>
          <w:color w:val="000000"/>
          <w:sz w:val="24"/>
          <w:szCs w:val="24"/>
          <w:shd w:fill="auto" w:val="clear"/>
        </w:rPr>
        <w:t xml:space="preserve">  </w:t>
      </w:r>
      <w:r>
        <w:rPr>
          <w:b w:val="false"/>
          <w:bCs w:val="false"/>
          <w:i w:val="false"/>
          <w:iCs w:val="false"/>
          <w:color w:val="000000"/>
          <w:sz w:val="24"/>
          <w:szCs w:val="24"/>
          <w:shd w:fill="auto" w:val="clear"/>
        </w:rPr>
        <w:t>Praça Mauá, 65 - Centro, Comando do 1º Distrito Naval, Rio de Janeiro – RJ, CEP: 20081-240</w:t>
      </w:r>
      <w:r>
        <w:rPr>
          <w:b w:val="false"/>
          <w:bCs w:val="false"/>
          <w:i w:val="false"/>
          <w:iCs w:val="false"/>
          <w:color w:val="000000"/>
          <w:sz w:val="24"/>
          <w:szCs w:val="24"/>
          <w:shd w:fill="auto" w:val="clear"/>
        </w:rPr>
      </w:r>
      <w:commentRangeEnd w:id="10"/>
      <w:r>
        <w:commentReference w:id="10"/>
      </w:r>
      <w:r>
        <w:rPr>
          <w:b w:val="false"/>
          <w:bCs w:val="false"/>
          <w:i w:val="false"/>
          <w:iCs w:val="false"/>
          <w:color w:val="000000"/>
          <w:sz w:val="24"/>
          <w:szCs w:val="24"/>
          <w:shd w:fill="auto" w:val="clear"/>
        </w:rPr>
        <w:t xml:space="preserve">. </w:t>
      </w:r>
      <w:r>
        <w:rPr>
          <w:b/>
          <w:bCs/>
          <w:i w:val="false"/>
          <w:iCs w:val="false"/>
          <w:color w:val="000000"/>
          <w:sz w:val="24"/>
          <w:szCs w:val="24"/>
          <w:shd w:fill="auto" w:val="clear"/>
        </w:rPr>
        <w:t>(Rancho do Comando do 1</w:t>
      </w:r>
      <w:r>
        <w:rPr>
          <w:b/>
          <w:bCs/>
          <w:i w:val="false"/>
          <w:iCs w:val="false"/>
          <w:color w:val="000000"/>
          <w:sz w:val="24"/>
          <w:szCs w:val="24"/>
          <w:shd w:fill="auto" w:val="clear"/>
        </w:rPr>
        <w:t>°</w:t>
      </w:r>
      <w:r>
        <w:rPr>
          <w:b/>
          <w:bCs/>
          <w:i w:val="false"/>
          <w:iCs w:val="false"/>
          <w:color w:val="000000"/>
          <w:sz w:val="24"/>
          <w:szCs w:val="24"/>
          <w:shd w:fill="auto" w:val="clear"/>
        </w:rPr>
        <w:t xml:space="preserve"> Distrito Naval)</w:t>
      </w:r>
      <w:r>
        <w:rPr>
          <w:b/>
          <w:bCs/>
          <w:i w:val="false"/>
          <w:iCs w:val="false"/>
          <w:color w:val="000000"/>
          <w:sz w:val="24"/>
          <w:szCs w:val="24"/>
          <w:shd w:fill="auto" w:val="clear"/>
        </w:rPr>
        <w:t>, no período de 08h às 1</w:t>
      </w:r>
      <w:r>
        <w:rPr>
          <w:b/>
          <w:bCs/>
          <w:i w:val="false"/>
          <w:iCs w:val="false"/>
          <w:color w:val="000000"/>
          <w:sz w:val="24"/>
          <w:szCs w:val="24"/>
          <w:shd w:fill="auto" w:val="clear"/>
        </w:rPr>
        <w:t>1</w:t>
      </w:r>
      <w:r>
        <w:rPr>
          <w:b/>
          <w:bCs/>
          <w:i w:val="false"/>
          <w:iCs w:val="false"/>
          <w:color w:val="000000"/>
          <w:sz w:val="24"/>
          <w:szCs w:val="24"/>
          <w:shd w:fill="auto" w:val="clear"/>
        </w:rPr>
        <w:t>:</w:t>
      </w:r>
      <w:r>
        <w:rPr>
          <w:b/>
          <w:bCs/>
          <w:i w:val="false"/>
          <w:iCs w:val="false"/>
          <w:color w:val="000000"/>
          <w:sz w:val="24"/>
          <w:szCs w:val="24"/>
          <w:shd w:fill="auto" w:val="clear"/>
        </w:rPr>
        <w:t>30</w:t>
      </w:r>
      <w:r>
        <w:rPr>
          <w:b/>
          <w:bCs/>
          <w:i w:val="false"/>
          <w:iCs w:val="false"/>
          <w:color w:val="000000"/>
          <w:sz w:val="24"/>
          <w:szCs w:val="24"/>
          <w:shd w:fill="auto" w:val="clear"/>
        </w:rPr>
        <w:t xml:space="preserve"> e de 13h às 1</w:t>
      </w:r>
      <w:r>
        <w:rPr>
          <w:b/>
          <w:bCs/>
          <w:i w:val="false"/>
          <w:iCs w:val="false"/>
          <w:color w:val="000000"/>
          <w:sz w:val="24"/>
          <w:szCs w:val="24"/>
          <w:shd w:fill="auto" w:val="clear"/>
        </w:rPr>
        <w:t>6</w:t>
      </w:r>
      <w:r>
        <w:rPr>
          <w:b/>
          <w:bCs/>
          <w:i w:val="false"/>
          <w:iCs w:val="false"/>
          <w:color w:val="000000"/>
          <w:sz w:val="24"/>
          <w:szCs w:val="24"/>
          <w:shd w:fill="auto" w:val="clear"/>
        </w:rPr>
        <w:t>h.</w:t>
      </w:r>
    </w:p>
    <w:p>
      <w:pPr>
        <w:pStyle w:val="Nvel1-SemNumerao"/>
        <w:ind w:hanging="0" w:left="0"/>
        <w:rPr>
          <w:rFonts w:ascii="Calibri" w:hAnsi="Calibri"/>
          <w:sz w:val="24"/>
          <w:szCs w:val="24"/>
        </w:rPr>
      </w:pPr>
      <w:commentRangeStart w:id="12"/>
      <w:r>
        <w:rPr>
          <w:rFonts w:ascii="Calibri" w:hAnsi="Calibri"/>
          <w:i w:val="false"/>
          <w:iCs w:val="false"/>
          <w:sz w:val="24"/>
          <w:szCs w:val="24"/>
        </w:rPr>
        <w:t>Garantia, manutenção e assistência técnica</w:t>
      </w:r>
      <w:commentRangeEnd w:id="12"/>
      <w:r>
        <w:commentReference w:id="12"/>
      </w:r>
      <w:r>
        <w:rPr>
          <w:rFonts w:ascii="Calibri" w:hAnsi="Calibri"/>
          <w:i w:val="false"/>
          <w:iCs w:val="false"/>
          <w:sz w:val="24"/>
          <w:szCs w:val="24"/>
        </w:rPr>
      </w:r>
    </w:p>
    <w:p>
      <w:pPr>
        <w:pStyle w:val="Nvel2-Opcional"/>
        <w:numPr>
          <w:ilvl w:val="1"/>
          <w:numId w:val="3"/>
        </w:numPr>
        <w:rPr>
          <w:rFonts w:ascii="Calibri" w:hAnsi="Calibri"/>
          <w:sz w:val="24"/>
          <w:szCs w:val="24"/>
        </w:rPr>
      </w:pPr>
      <w:bookmarkStart w:id="8" w:name="_Hlk175669127"/>
      <w:commentRangeStart w:id="13"/>
      <w:r>
        <w:rPr>
          <w:i w:val="false"/>
          <w:iCs w:val="false"/>
          <w:color w:val="auto"/>
          <w:sz w:val="24"/>
          <w:szCs w:val="24"/>
        </w:rPr>
        <w:t>O prazo de garantia é aquele estabelecido na Lei nº 8.078, de 11 de setembro de 1990 (Código de Defesa do Consumidor)</w:t>
      </w:r>
      <w:bookmarkEnd w:id="8"/>
      <w:r>
        <w:rPr>
          <w:i w:val="false"/>
          <w:iCs w:val="false"/>
          <w:color w:val="auto"/>
          <w:sz w:val="24"/>
          <w:szCs w:val="24"/>
        </w:rPr>
      </w:r>
      <w:commentRangeEnd w:id="13"/>
      <w:r>
        <w:commentReference w:id="13"/>
      </w:r>
      <w:r>
        <w:rPr>
          <w:i w:val="false"/>
          <w:iCs w:val="false"/>
          <w:color w:val="auto"/>
          <w:sz w:val="24"/>
          <w:szCs w:val="24"/>
        </w:rPr>
        <w:t>.</w:t>
      </w:r>
    </w:p>
    <w:p>
      <w:pPr>
        <w:pStyle w:val="Nivel01"/>
        <w:numPr>
          <w:ilvl w:val="0"/>
          <w:numId w:val="3"/>
        </w:numPr>
        <w:ind w:hanging="357" w:left="357"/>
        <w:rPr>
          <w:rFonts w:ascii="Calibri" w:hAnsi="Calibri"/>
          <w:sz w:val="24"/>
          <w:szCs w:val="24"/>
        </w:rPr>
      </w:pPr>
      <w:r>
        <w:rPr>
          <w:rFonts w:ascii="Calibri" w:hAnsi="Calibri"/>
          <w:sz w:val="24"/>
          <w:szCs w:val="24"/>
        </w:rPr>
        <w:t>MODELO DE GESTÃO DO CONTRATO</w:t>
      </w:r>
    </w:p>
    <w:p>
      <w:pPr>
        <w:pStyle w:val="Nvel02"/>
        <w:numPr>
          <w:ilvl w:val="1"/>
          <w:numId w:val="3"/>
        </w:numPr>
        <w:ind w:hanging="0" w:left="0"/>
        <w:rPr>
          <w:rFonts w:ascii="Calibri" w:hAnsi="Calibri"/>
          <w:sz w:val="24"/>
          <w:szCs w:val="24"/>
        </w:rPr>
      </w:pPr>
      <w:r>
        <w:rPr>
          <w:sz w:val="24"/>
          <w:szCs w:val="24"/>
        </w:rPr>
        <w:t>O contrato deverá ser executado fielmente pelas partes, de acordo com as cláusulas avençadas e as normas da Lei nº 14.133, de 2021, e cada parte responderá pelas consequências de sua inexecução total ou parcial.</w:t>
      </w:r>
    </w:p>
    <w:p>
      <w:pPr>
        <w:pStyle w:val="Nvel02"/>
        <w:numPr>
          <w:ilvl w:val="1"/>
          <w:numId w:val="3"/>
        </w:numPr>
        <w:ind w:hanging="0" w:left="0"/>
        <w:rPr>
          <w:rFonts w:ascii="Calibri" w:hAnsi="Calibri"/>
          <w:sz w:val="24"/>
          <w:szCs w:val="24"/>
        </w:rPr>
      </w:pPr>
      <w:r>
        <w:rPr>
          <w:sz w:val="24"/>
          <w:szCs w:val="24"/>
        </w:rPr>
        <w:t>Em caso de impedimento, ordem de paralisação ou suspensão do contrato, o cronograma de execução será prorrogado automaticamente pelo tempo correspondente, anotadas tais circunstâncias mediante simples apostila.</w:t>
      </w:r>
    </w:p>
    <w:p>
      <w:pPr>
        <w:pStyle w:val="Nvel02"/>
        <w:numPr>
          <w:ilvl w:val="1"/>
          <w:numId w:val="3"/>
        </w:numPr>
        <w:ind w:hanging="0" w:left="0"/>
        <w:rPr>
          <w:rFonts w:ascii="Calibri" w:hAnsi="Calibri"/>
          <w:sz w:val="24"/>
          <w:szCs w:val="24"/>
        </w:rPr>
      </w:pPr>
      <w:r>
        <w:rPr>
          <w:sz w:val="24"/>
          <w:szCs w:val="24"/>
        </w:rPr>
        <w:t>As comunicações entre o órgão ou entidade e a contratada devem ser realizadas por escrito sempre que o ato exigir tal formalidade, admitindo-se o uso de mensagem eletrônica para esse fim.</w:t>
      </w:r>
    </w:p>
    <w:p>
      <w:pPr>
        <w:pStyle w:val="Nvel02"/>
        <w:numPr>
          <w:ilvl w:val="1"/>
          <w:numId w:val="3"/>
        </w:numPr>
        <w:ind w:hanging="0" w:left="0"/>
        <w:rPr>
          <w:rFonts w:ascii="Calibri" w:hAnsi="Calibri"/>
          <w:sz w:val="24"/>
          <w:szCs w:val="24"/>
        </w:rPr>
      </w:pPr>
      <w:r>
        <w:rPr>
          <w:sz w:val="24"/>
          <w:szCs w:val="24"/>
        </w:rPr>
        <w:t>O órgão ou entidade poderá convocar representante da empresa para adoção de providências que devam ser cumpridas de imediato.</w:t>
      </w:r>
    </w:p>
    <w:p>
      <w:pPr>
        <w:pStyle w:val="Nvel2-Opcional"/>
        <w:numPr>
          <w:ilvl w:val="1"/>
          <w:numId w:val="3"/>
        </w:numPr>
        <w:rPr>
          <w:rFonts w:ascii="Calibri" w:hAnsi="Calibri"/>
          <w:sz w:val="24"/>
          <w:szCs w:val="24"/>
        </w:rPr>
      </w:pPr>
      <w:r>
        <w:rPr>
          <w:i w:val="false"/>
          <w:iCs w:val="false"/>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1-SemNumerao"/>
        <w:ind w:hanging="0" w:left="0"/>
        <w:rPr>
          <w:rFonts w:ascii="Calibri" w:hAnsi="Calibri"/>
          <w:sz w:val="24"/>
          <w:szCs w:val="24"/>
        </w:rPr>
      </w:pPr>
      <w:r>
        <w:rPr>
          <w:rFonts w:ascii="Calibri" w:hAnsi="Calibri"/>
          <w:sz w:val="24"/>
          <w:szCs w:val="24"/>
        </w:rPr>
        <w:t>Fiscalização</w:t>
      </w:r>
    </w:p>
    <w:p>
      <w:pPr>
        <w:pStyle w:val="Nvel02"/>
        <w:numPr>
          <w:ilvl w:val="1"/>
          <w:numId w:val="3"/>
        </w:numPr>
        <w:ind w:hanging="0" w:left="0"/>
        <w:rPr>
          <w:rFonts w:ascii="Calibri" w:hAnsi="Calibri"/>
          <w:sz w:val="24"/>
          <w:szCs w:val="24"/>
        </w:rPr>
      </w:pPr>
      <w:commentRangeStart w:id="14"/>
      <w:r>
        <w:rPr>
          <w:sz w:val="24"/>
          <w:szCs w:val="24"/>
        </w:rPr>
        <w:t>A execução do contrato deverá ser acompanhada e fiscalizada pelo(s) fiscal(is) do contrato, ou pelos respectivos substitutos.</w:t>
      </w:r>
      <w:commentRangeEnd w:id="14"/>
      <w:r>
        <w:commentReference w:id="14"/>
      </w:r>
      <w:r>
        <w:rPr>
          <w:sz w:val="24"/>
          <w:szCs w:val="24"/>
        </w:rPr>
      </w:r>
    </w:p>
    <w:p>
      <w:pPr>
        <w:pStyle w:val="Nvel1-SemNumerao"/>
        <w:ind w:hanging="0" w:left="0"/>
        <w:rPr>
          <w:rFonts w:ascii="Calibri" w:hAnsi="Calibri"/>
          <w:sz w:val="24"/>
          <w:szCs w:val="24"/>
        </w:rPr>
      </w:pPr>
      <w:r>
        <w:rPr>
          <w:rFonts w:ascii="Calibri" w:hAnsi="Calibri"/>
          <w:sz w:val="24"/>
          <w:szCs w:val="24"/>
        </w:rPr>
        <w:t>Fiscalização Técnica</w:t>
      </w:r>
    </w:p>
    <w:p>
      <w:pPr>
        <w:pStyle w:val="Nvel02"/>
        <w:numPr>
          <w:ilvl w:val="1"/>
          <w:numId w:val="3"/>
        </w:numPr>
        <w:ind w:hanging="0" w:left="0"/>
        <w:rPr>
          <w:rFonts w:ascii="Calibri" w:hAnsi="Calibri"/>
          <w:sz w:val="24"/>
          <w:szCs w:val="24"/>
        </w:rPr>
      </w:pPr>
      <w:r>
        <w:rPr>
          <w:sz w:val="24"/>
          <w:szCs w:val="24"/>
        </w:rPr>
        <w:t>O fiscal técnico do contrato acompanhará a execução do contrato, para que sejam cumpridas todas as condições estabelecidas no contrato, de modo a assegurar os melhores resultados para a Administração.</w:t>
      </w:r>
    </w:p>
    <w:p>
      <w:pPr>
        <w:pStyle w:val="Nvel02"/>
        <w:numPr>
          <w:ilvl w:val="1"/>
          <w:numId w:val="3"/>
        </w:numPr>
        <w:ind w:hanging="0" w:left="0"/>
        <w:rPr>
          <w:rFonts w:ascii="Calibri" w:hAnsi="Calibri"/>
          <w:sz w:val="24"/>
          <w:szCs w:val="24"/>
        </w:rPr>
      </w:pPr>
      <w:r>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pPr>
        <w:pStyle w:val="Nvel02"/>
        <w:numPr>
          <w:ilvl w:val="1"/>
          <w:numId w:val="3"/>
        </w:numPr>
        <w:ind w:hanging="0" w:left="0"/>
        <w:rPr>
          <w:rFonts w:ascii="Calibri" w:hAnsi="Calibri"/>
          <w:sz w:val="24"/>
          <w:szCs w:val="24"/>
        </w:rPr>
      </w:pPr>
      <w:r>
        <w:rPr>
          <w:sz w:val="24"/>
          <w:szCs w:val="24"/>
        </w:rPr>
        <w:t>Identificada qualquer inexatidão ou irregularidade, o fiscal técnico do contrato emitirá notificações para a correção da execução do contrato, determinando prazo para a correção.</w:t>
      </w:r>
    </w:p>
    <w:p>
      <w:pPr>
        <w:pStyle w:val="Nvel02"/>
        <w:numPr>
          <w:ilvl w:val="1"/>
          <w:numId w:val="3"/>
        </w:numPr>
        <w:ind w:hanging="0" w:left="0"/>
        <w:rPr>
          <w:rFonts w:ascii="Calibri" w:hAnsi="Calibri"/>
          <w:sz w:val="24"/>
          <w:szCs w:val="24"/>
        </w:rPr>
      </w:pPr>
      <w:r>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pPr>
        <w:pStyle w:val="Nvel02"/>
        <w:numPr>
          <w:ilvl w:val="1"/>
          <w:numId w:val="3"/>
        </w:numPr>
        <w:ind w:hanging="0" w:left="0"/>
        <w:rPr>
          <w:rFonts w:ascii="Calibri" w:hAnsi="Calibri"/>
          <w:sz w:val="24"/>
          <w:szCs w:val="24"/>
        </w:rPr>
      </w:pPr>
      <w:r>
        <w:rPr>
          <w:sz w:val="24"/>
          <w:szCs w:val="24"/>
        </w:rPr>
        <w:t>No caso de ocorrências que possam inviabilizar a execução do contrato nas datas aprazadas, o fiscal técnico do contrato comunicará o fato imediatamente ao gestor do contrato.</w:t>
      </w:r>
    </w:p>
    <w:p>
      <w:pPr>
        <w:pStyle w:val="Nvel02"/>
        <w:numPr>
          <w:ilvl w:val="1"/>
          <w:numId w:val="3"/>
        </w:numPr>
        <w:ind w:hanging="0" w:left="0"/>
        <w:rPr>
          <w:rFonts w:ascii="Calibri" w:hAnsi="Calibri"/>
          <w:sz w:val="24"/>
          <w:szCs w:val="24"/>
        </w:rPr>
      </w:pPr>
      <w:r>
        <w:rPr>
          <w:sz w:val="24"/>
          <w:szCs w:val="24"/>
        </w:rPr>
        <w:t>O fiscal técnico do contrato comunicará ao gestor do contrato, em tempo hábil, o término do contrato sob sua responsabilidade, com vistas à renovação tempestiva ou à prorrogação contratual.</w:t>
      </w:r>
    </w:p>
    <w:p>
      <w:pPr>
        <w:pStyle w:val="Nvel1-SemNumerao"/>
        <w:ind w:hanging="0" w:left="0"/>
        <w:rPr>
          <w:rFonts w:ascii="Calibri" w:hAnsi="Calibri"/>
          <w:sz w:val="24"/>
          <w:szCs w:val="24"/>
        </w:rPr>
      </w:pPr>
      <w:r>
        <w:rPr>
          <w:rFonts w:ascii="Calibri" w:hAnsi="Calibri"/>
          <w:sz w:val="24"/>
          <w:szCs w:val="24"/>
        </w:rPr>
        <w:t>Fiscalização Administrativa</w:t>
      </w:r>
    </w:p>
    <w:p>
      <w:pPr>
        <w:pStyle w:val="Nvel02"/>
        <w:numPr>
          <w:ilvl w:val="1"/>
          <w:numId w:val="3"/>
        </w:numPr>
        <w:ind w:hanging="0" w:left="0"/>
        <w:rPr>
          <w:rFonts w:ascii="Calibri" w:hAnsi="Calibri"/>
          <w:sz w:val="24"/>
          <w:szCs w:val="24"/>
        </w:rPr>
      </w:pPr>
      <w:r>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Nvel02"/>
        <w:numPr>
          <w:ilvl w:val="1"/>
          <w:numId w:val="3"/>
        </w:numPr>
        <w:ind w:hanging="0" w:left="0"/>
        <w:rPr>
          <w:rFonts w:ascii="Calibri" w:hAnsi="Calibri"/>
          <w:sz w:val="24"/>
          <w:szCs w:val="24"/>
        </w:rPr>
      </w:pPr>
      <w:r>
        <w:rPr>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pPr>
        <w:pStyle w:val="Nvel02"/>
        <w:numPr>
          <w:ilvl w:val="1"/>
          <w:numId w:val="3"/>
        </w:numPr>
        <w:ind w:hanging="0" w:left="0"/>
        <w:rPr>
          <w:rFonts w:ascii="Calibri" w:hAnsi="Calibri"/>
          <w:sz w:val="24"/>
          <w:szCs w:val="24"/>
        </w:rPr>
      </w:pPr>
      <w:r>
        <w:rPr>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pPr>
        <w:pStyle w:val="Nvel1-SemNumerao"/>
        <w:ind w:hanging="0" w:left="0"/>
        <w:rPr>
          <w:rFonts w:ascii="Calibri" w:hAnsi="Calibri"/>
          <w:sz w:val="24"/>
          <w:szCs w:val="24"/>
        </w:rPr>
      </w:pPr>
      <w:r>
        <w:rPr>
          <w:rFonts w:ascii="Calibri" w:hAnsi="Calibri"/>
          <w:sz w:val="24"/>
          <w:szCs w:val="24"/>
        </w:rPr>
        <w:t>Gestor do Contrato</w:t>
      </w:r>
    </w:p>
    <w:p>
      <w:pPr>
        <w:pStyle w:val="Nvel02"/>
        <w:numPr>
          <w:ilvl w:val="1"/>
          <w:numId w:val="3"/>
        </w:numPr>
        <w:ind w:hanging="0" w:left="0"/>
        <w:rPr>
          <w:rFonts w:ascii="Calibri" w:hAnsi="Calibri"/>
          <w:sz w:val="24"/>
          <w:szCs w:val="24"/>
        </w:rPr>
      </w:pPr>
      <w:r>
        <w:rPr>
          <w:sz w:val="24"/>
          <w:szCs w:val="24"/>
        </w:rPr>
        <w:t>Cabe ao gestor do contrato:</w:t>
      </w:r>
    </w:p>
    <w:p>
      <w:pPr>
        <w:pStyle w:val="Nivel3"/>
        <w:numPr>
          <w:ilvl w:val="2"/>
          <w:numId w:val="108"/>
        </w:numPr>
        <w:ind w:hanging="0" w:left="284"/>
        <w:rPr>
          <w:rFonts w:ascii="Calibri" w:hAnsi="Calibri"/>
          <w:sz w:val="24"/>
          <w:szCs w:val="24"/>
        </w:rPr>
      </w:pPr>
      <w:r>
        <w:rPr>
          <w:rFonts w:ascii="Calibri" w:hAnsi="Calibri"/>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pPr>
        <w:pStyle w:val="Nivel3"/>
        <w:numPr>
          <w:ilvl w:val="2"/>
          <w:numId w:val="109"/>
        </w:numPr>
        <w:ind w:hanging="0" w:left="284"/>
        <w:rPr>
          <w:rFonts w:ascii="Calibri" w:hAnsi="Calibri"/>
          <w:sz w:val="24"/>
          <w:szCs w:val="24"/>
        </w:rPr>
      </w:pPr>
      <w:r>
        <w:rPr>
          <w:rFonts w:ascii="Calibri" w:hAnsi="Calibri"/>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pPr>
        <w:pStyle w:val="Nivel3"/>
        <w:numPr>
          <w:ilvl w:val="2"/>
          <w:numId w:val="110"/>
        </w:numPr>
        <w:ind w:hanging="0" w:left="284"/>
        <w:rPr>
          <w:rFonts w:ascii="Calibri" w:hAnsi="Calibri"/>
          <w:sz w:val="24"/>
          <w:szCs w:val="24"/>
        </w:rPr>
      </w:pPr>
      <w:r>
        <w:rPr>
          <w:rFonts w:ascii="Calibri" w:hAnsi="Calibri"/>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pPr>
        <w:pStyle w:val="Nivel3"/>
        <w:numPr>
          <w:ilvl w:val="2"/>
          <w:numId w:val="111"/>
        </w:numPr>
        <w:ind w:hanging="0" w:left="284"/>
        <w:rPr>
          <w:rFonts w:ascii="Calibri" w:hAnsi="Calibri"/>
          <w:sz w:val="24"/>
          <w:szCs w:val="24"/>
        </w:rPr>
      </w:pPr>
      <w:r>
        <w:rPr>
          <w:rFonts w:ascii="Calibri" w:hAnsi="Calibri"/>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Nivel3"/>
        <w:numPr>
          <w:ilvl w:val="2"/>
          <w:numId w:val="112"/>
        </w:numPr>
        <w:ind w:hanging="0" w:left="284"/>
        <w:rPr>
          <w:rFonts w:ascii="Calibri" w:hAnsi="Calibri"/>
          <w:sz w:val="24"/>
          <w:szCs w:val="24"/>
        </w:rPr>
      </w:pPr>
      <w:r>
        <w:rPr>
          <w:rFonts w:ascii="Calibri" w:hAnsi="Calibri"/>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pPr>
        <w:pStyle w:val="Nivel3"/>
        <w:numPr>
          <w:ilvl w:val="2"/>
          <w:numId w:val="113"/>
        </w:numPr>
        <w:ind w:hanging="0" w:left="284"/>
        <w:rPr>
          <w:rFonts w:ascii="Calibri" w:hAnsi="Calibri"/>
          <w:sz w:val="24"/>
          <w:szCs w:val="24"/>
        </w:rPr>
      </w:pPr>
      <w:r>
        <w:rPr>
          <w:rFonts w:ascii="Calibri" w:hAnsi="Calibri"/>
          <w:sz w:val="24"/>
          <w:szCs w:val="24"/>
        </w:rPr>
        <w:t>elaborar relatório final com informações sobre a consecução dos objetivos que tenham justificado a contratação e eventuais condutas a serem adotadas para o aprimoramento das atividades da Administração.</w:t>
      </w:r>
    </w:p>
    <w:p>
      <w:pPr>
        <w:pStyle w:val="Nivel3"/>
        <w:numPr>
          <w:ilvl w:val="2"/>
          <w:numId w:val="114"/>
        </w:numPr>
        <w:ind w:hanging="0" w:left="284"/>
        <w:rPr>
          <w:rFonts w:ascii="Calibri" w:hAnsi="Calibri"/>
          <w:sz w:val="24"/>
          <w:szCs w:val="24"/>
        </w:rPr>
      </w:pPr>
      <w:r>
        <w:rPr>
          <w:rFonts w:ascii="Calibri" w:hAnsi="Calibri"/>
          <w:sz w:val="24"/>
          <w:szCs w:val="24"/>
        </w:rPr>
        <w:t>enviar a documentação pertinente ao setor de contratos para a formalização dos procedimentos de liquidação e pagamento, no valor dimensionado pela fiscalização e gestão nos termos do contrato.</w:t>
      </w:r>
    </w:p>
    <w:p>
      <w:pPr>
        <w:pStyle w:val="Nivel01"/>
        <w:numPr>
          <w:ilvl w:val="0"/>
          <w:numId w:val="3"/>
        </w:numPr>
        <w:ind w:hanging="357" w:left="357"/>
        <w:rPr>
          <w:rFonts w:ascii="Calibri" w:hAnsi="Calibri"/>
          <w:sz w:val="24"/>
          <w:szCs w:val="24"/>
        </w:rPr>
      </w:pPr>
      <w:bookmarkStart w:id="9" w:name="_Hlk114498447"/>
      <w:bookmarkStart w:id="10" w:name="_Hlk114498479"/>
      <w:bookmarkEnd w:id="9"/>
      <w:bookmarkEnd w:id="10"/>
      <w:r>
        <w:rPr>
          <w:rFonts w:ascii="Calibri" w:hAnsi="Calibri"/>
          <w:sz w:val="24"/>
          <w:szCs w:val="24"/>
        </w:rPr>
        <w:t>INFRAÇÕES E SANÇÕES ADMINISTRATIVAS</w:t>
      </w:r>
    </w:p>
    <w:p>
      <w:pPr>
        <w:pStyle w:val="Nvel02"/>
        <w:numPr>
          <w:ilvl w:val="1"/>
          <w:numId w:val="3"/>
        </w:numPr>
        <w:ind w:hanging="0" w:left="0"/>
        <w:rPr/>
      </w:pPr>
      <w:r>
        <w:rPr>
          <w:rStyle w:val="Normaltextrun"/>
          <w:color w:val="000000"/>
          <w:sz w:val="24"/>
          <w:szCs w:val="24"/>
        </w:rPr>
        <w:t xml:space="preserve">Comete </w:t>
      </w:r>
      <w:r>
        <w:rPr>
          <w:sz w:val="24"/>
          <w:szCs w:val="24"/>
        </w:rPr>
        <w:t>infração</w:t>
      </w:r>
      <w:r>
        <w:rPr>
          <w:rStyle w:val="Normaltextrun"/>
          <w:color w:val="000000"/>
          <w:sz w:val="24"/>
          <w:szCs w:val="24"/>
        </w:rPr>
        <w:t xml:space="preserve"> administrativa, nos termos da </w:t>
      </w:r>
      <w:r>
        <w:rPr>
          <w:rStyle w:val="Normaltextrun"/>
          <w:sz w:val="24"/>
          <w:szCs w:val="24"/>
        </w:rPr>
        <w:t>Lei nº 14.133, de 2021</w:t>
      </w:r>
      <w:r>
        <w:rPr>
          <w:rStyle w:val="Normaltextrun"/>
          <w:color w:val="000000"/>
          <w:sz w:val="24"/>
          <w:szCs w:val="24"/>
        </w:rPr>
        <w:t>, o Contratado que:</w:t>
      </w:r>
    </w:p>
    <w:p>
      <w:pPr>
        <w:pStyle w:val="Paragraph"/>
        <w:numPr>
          <w:ilvl w:val="0"/>
          <w:numId w:val="5"/>
        </w:numPr>
        <w:spacing w:lineRule="auto" w:line="276" w:beforeAutospacing="0" w:before="120" w:afterAutospacing="0" w:after="0"/>
        <w:ind w:hanging="0" w:left="284"/>
        <w:jc w:val="both"/>
        <w:textAlignment w:val="baseline"/>
        <w:rPr/>
      </w:pPr>
      <w:r>
        <w:rPr>
          <w:rStyle w:val="Normaltextrun"/>
          <w:rFonts w:ascii="Calibri" w:hAnsi="Calibri"/>
          <w:sz w:val="24"/>
          <w:szCs w:val="24"/>
        </w:rPr>
        <w:t>der causa à inexecução parcial do contrato;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der causa à inexecução parcial do contrato que cause grave dano à Administração ou ao funcionamento dos serviços públicos ou ao interesse coletivo;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der causa à inexecução total do contrato;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ensejar o retardamento da execução ou da entrega do objeto da contratação sem motivo justificado;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apresentar documentação falsa ou prestar declaração falsa durante a execução do contrato;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praticar ato fraudulento na execução do contrato;</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comportar-se de modo inidôneo ou cometer fraude de qualquer natureza;</w:t>
      </w:r>
    </w:p>
    <w:p>
      <w:pPr>
        <w:pStyle w:val="Paragraph"/>
        <w:numPr>
          <w:ilvl w:val="0"/>
          <w:numId w:val="5"/>
        </w:numPr>
        <w:spacing w:lineRule="auto" w:line="276" w:beforeAutospacing="0" w:before="0" w:afterAutospacing="0" w:after="0"/>
        <w:ind w:hanging="0" w:left="284"/>
        <w:jc w:val="both"/>
        <w:textAlignment w:val="baseline"/>
        <w:rPr/>
      </w:pPr>
      <w:r>
        <w:rPr>
          <w:rStyle w:val="Normaltextrun"/>
          <w:rFonts w:ascii="Calibri" w:hAnsi="Calibri"/>
          <w:sz w:val="24"/>
          <w:szCs w:val="24"/>
        </w:rPr>
        <w:t>praticar ato lesivo previsto no art. 5º da Lei nº 12.846, de 1º de agosto de 2013.</w:t>
      </w:r>
    </w:p>
    <w:p>
      <w:pPr>
        <w:pStyle w:val="Nvel02"/>
        <w:numPr>
          <w:ilvl w:val="1"/>
          <w:numId w:val="3"/>
        </w:numPr>
        <w:ind w:hanging="0" w:left="0"/>
        <w:rPr/>
      </w:pPr>
      <w:r>
        <w:rPr>
          <w:rStyle w:val="Normaltextrun"/>
          <w:color w:val="000000"/>
          <w:sz w:val="24"/>
          <w:szCs w:val="24"/>
        </w:rPr>
        <w:t xml:space="preserve">Serão </w:t>
      </w:r>
      <w:r>
        <w:rPr>
          <w:sz w:val="24"/>
          <w:szCs w:val="24"/>
        </w:rPr>
        <w:t>aplicadas</w:t>
      </w:r>
      <w:r>
        <w:rPr>
          <w:rStyle w:val="Normaltextrun"/>
          <w:color w:val="000000"/>
          <w:sz w:val="24"/>
          <w:szCs w:val="24"/>
        </w:rPr>
        <w:t xml:space="preserve"> ao Contratado que incorrer nas infrações acima descritas as seguintes sanções:</w:t>
      </w:r>
    </w:p>
    <w:p>
      <w:pPr>
        <w:pStyle w:val="Nivel3"/>
        <w:numPr>
          <w:ilvl w:val="2"/>
          <w:numId w:val="115"/>
        </w:numPr>
        <w:ind w:hanging="0" w:left="284"/>
        <w:rPr/>
      </w:pPr>
      <w:r>
        <w:rPr>
          <w:rStyle w:val="Normaltextrun"/>
          <w:rFonts w:ascii="Calibri" w:hAnsi="Calibri"/>
          <w:color w:val="000000"/>
          <w:sz w:val="24"/>
          <w:szCs w:val="24"/>
        </w:rPr>
        <w:t>Advertência, quando o Contratado der causa à inexecução parcial do contrato, sempre que não se justificar a imposição de penalidade mais grave;</w:t>
      </w:r>
    </w:p>
    <w:p>
      <w:pPr>
        <w:pStyle w:val="Nivel3"/>
        <w:numPr>
          <w:ilvl w:val="2"/>
          <w:numId w:val="116"/>
        </w:numPr>
        <w:ind w:hanging="0" w:left="284"/>
        <w:rPr/>
      </w:pPr>
      <w:r>
        <w:rPr>
          <w:rStyle w:val="Normaltextrun"/>
          <w:rFonts w:ascii="Calibri" w:hAnsi="Calibri"/>
          <w:color w:val="000000"/>
          <w:sz w:val="24"/>
          <w:szCs w:val="24"/>
        </w:rPr>
        <w:t>Impedimento de licitar e contratar, quando praticadas as condutas descritas nas alíneas “b”, “c” e “d” do subitem acima, sempre que não se justificar a imposição de penalidade mais grave;</w:t>
      </w:r>
    </w:p>
    <w:p>
      <w:pPr>
        <w:pStyle w:val="Nivel3"/>
        <w:numPr>
          <w:ilvl w:val="2"/>
          <w:numId w:val="117"/>
        </w:numPr>
        <w:ind w:hanging="0" w:left="284"/>
        <w:rPr/>
      </w:pPr>
      <w:r>
        <w:rPr>
          <w:rStyle w:val="Normaltextrun"/>
          <w:rFonts w:ascii="Calibri" w:hAnsi="Calibri"/>
          <w:color w:val="000000"/>
          <w:sz w:val="24"/>
          <w:szCs w:val="24"/>
        </w:rPr>
        <w:t>Declaração de inidoneidade para licitar e contratar, quando praticadas as condutas descritas nas alíneas “e”, “f”, “g” e “h” do subitem acima, bem como nas alíneas “b”, “c” e “d”, que justifiquem a imposição de penalidade mais grave.</w:t>
      </w:r>
    </w:p>
    <w:p>
      <w:pPr>
        <w:pStyle w:val="Nivel3"/>
        <w:numPr>
          <w:ilvl w:val="2"/>
          <w:numId w:val="118"/>
        </w:numPr>
        <w:ind w:hanging="0" w:left="284"/>
        <w:rPr/>
      </w:pPr>
      <w:commentRangeStart w:id="15"/>
      <w:r>
        <w:rPr>
          <w:rStyle w:val="Normaltextrun"/>
          <w:rFonts w:ascii="Calibri" w:hAnsi="Calibri"/>
          <w:color w:val="000000"/>
          <w:sz w:val="24"/>
          <w:szCs w:val="24"/>
        </w:rPr>
        <w:t>Multa</w:t>
      </w:r>
      <w:r>
        <w:rPr>
          <w:rStyle w:val="Normaltextrun"/>
          <w:rFonts w:cs="Arial" w:ascii="Calibri" w:hAnsi="Calibri"/>
          <w:color w:val="000000"/>
          <w:sz w:val="24"/>
          <w:szCs w:val="24"/>
        </w:rPr>
        <w:t>:</w:t>
      </w:r>
      <w:commentRangeEnd w:id="15"/>
      <w:r>
        <w:commentReference w:id="15"/>
      </w:r>
      <w:r>
        <w:rPr>
          <w:rStyle w:val="Normaltextrun"/>
          <w:rFonts w:cs="Arial" w:ascii="Calibri" w:hAnsi="Calibri"/>
          <w:color w:val="000000"/>
          <w:sz w:val="24"/>
          <w:szCs w:val="24"/>
        </w:rPr>
      </w:r>
    </w:p>
    <w:p>
      <w:pPr>
        <w:pStyle w:val="Nvel4-R"/>
        <w:numPr>
          <w:ilvl w:val="3"/>
          <w:numId w:val="119"/>
        </w:numPr>
        <w:ind w:hanging="0" w:left="567"/>
        <w:rPr>
          <w:rFonts w:ascii="Calibri" w:hAnsi="Calibri"/>
          <w:sz w:val="24"/>
          <w:szCs w:val="24"/>
        </w:rPr>
      </w:pPr>
      <w:r>
        <w:rPr>
          <w:rFonts w:ascii="Calibri" w:hAnsi="Calibri"/>
          <w:i w:val="false"/>
          <w:iCs/>
          <w:color w:val="auto"/>
          <w:sz w:val="24"/>
          <w:szCs w:val="24"/>
        </w:rPr>
        <w:t>Moratória, para as infrações descritas no item “d”, de 0,33% (trinta e três centésimos por cento) por dia de atraso injustificado sobre o valor da parcela inadimplida, até o limite de 10 (dez) dias, não podendo o valor total da multa ultrapassar 10% (dez por cento) do valor da parcela inadimplida</w:t>
      </w:r>
    </w:p>
    <w:p>
      <w:pPr>
        <w:pStyle w:val="Nvel4-R"/>
        <w:numPr>
          <w:ilvl w:val="3"/>
          <w:numId w:val="3"/>
        </w:numPr>
        <w:ind w:hanging="0" w:left="567"/>
        <w:rPr/>
      </w:pPr>
      <w:r>
        <w:rPr>
          <w:rStyle w:val="Normaltextrun"/>
          <w:rFonts w:ascii="Calibri" w:hAnsi="Calibri"/>
          <w:i w:val="false"/>
          <w:iCs/>
          <w:color w:val="auto"/>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r>
        <w:rPr>
          <w:rFonts w:ascii="Calibri" w:hAnsi="Calibri"/>
          <w:sz w:val="24"/>
          <w:szCs w:val="24"/>
        </w:rPr>
        <w:commentReference w:id="16"/>
      </w:r>
    </w:p>
    <w:p>
      <w:pPr>
        <w:pStyle w:val="Nvel4-R"/>
        <w:numPr>
          <w:ilvl w:val="4"/>
          <w:numId w:val="6"/>
        </w:numPr>
        <w:ind w:hanging="0" w:left="1418"/>
        <w:rPr>
          <w:rFonts w:ascii="Calibri" w:hAnsi="Calibri"/>
          <w:sz w:val="24"/>
          <w:szCs w:val="24"/>
        </w:rPr>
      </w:pPr>
      <w:r>
        <w:rPr>
          <w:rFonts w:ascii="Calibri" w:hAnsi="Calibri"/>
          <w:i w:val="false"/>
          <w:iCs/>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pPr>
        <w:pStyle w:val="Nvel4-R"/>
        <w:numPr>
          <w:ilvl w:val="3"/>
          <w:numId w:val="120"/>
        </w:numPr>
        <w:ind w:hanging="0" w:left="567"/>
        <w:rPr/>
      </w:pPr>
      <w:r>
        <w:rPr>
          <w:rFonts w:ascii="Calibri" w:hAnsi="Calibri"/>
          <w:i w:val="false"/>
          <w:iCs/>
          <w:color w:val="auto"/>
          <w:sz w:val="24"/>
          <w:szCs w:val="24"/>
        </w:rPr>
        <w:t>Compensatória, para as infrações descritas acima nas alíneas “e” a “h”, de 2% (dois por cento) a 10% (dez por cento) do valor da contratação</w:t>
      </w:r>
      <w:commentRangeStart w:id="17"/>
      <w:commentRangeStart w:id="18"/>
      <w:r>
        <w:rPr>
          <w:rStyle w:val="Normaltextrun"/>
          <w:rFonts w:ascii="Calibri" w:hAnsi="Calibri"/>
          <w:i w:val="false"/>
          <w:iCs/>
          <w:color w:val="auto"/>
          <w:sz w:val="24"/>
          <w:szCs w:val="24"/>
        </w:rPr>
        <w:t>.</w:t>
      </w:r>
    </w:p>
    <w:p>
      <w:pPr>
        <w:pStyle w:val="Nvel4-R"/>
        <w:numPr>
          <w:ilvl w:val="3"/>
          <w:numId w:val="121"/>
        </w:numPr>
        <w:ind w:hanging="0" w:left="567"/>
        <w:rPr/>
      </w:pPr>
      <w:r>
        <w:rPr>
          <w:rFonts w:ascii="Calibri" w:hAnsi="Calibri"/>
          <w:i w:val="false"/>
          <w:iCs/>
          <w:color w:val="auto"/>
          <w:sz w:val="24"/>
          <w:szCs w:val="24"/>
        </w:rPr>
        <w:t>Compensatória, para a inexecução total do contrato, prevista acima na alínea “c”, de 10% (dez por cento) a 20% (vinte por cento) do valor da contratação</w:t>
      </w:r>
      <w:r>
        <w:rPr>
          <w:rStyle w:val="Normaltextrun"/>
          <w:rFonts w:ascii="Calibri" w:hAnsi="Calibri"/>
          <w:i w:val="false"/>
          <w:iCs/>
          <w:color w:val="auto"/>
          <w:sz w:val="24"/>
          <w:szCs w:val="24"/>
        </w:rPr>
        <w:t>.</w:t>
      </w:r>
    </w:p>
    <w:p>
      <w:pPr>
        <w:pStyle w:val="Nvel4-R"/>
        <w:numPr>
          <w:ilvl w:val="3"/>
          <w:numId w:val="122"/>
        </w:numPr>
        <w:ind w:hanging="0" w:left="567"/>
        <w:rPr/>
      </w:pPr>
      <w:r>
        <w:rPr>
          <w:rFonts w:ascii="Calibri" w:hAnsi="Calibri"/>
          <w:i w:val="false"/>
          <w:iCs/>
          <w:color w:val="auto"/>
          <w:sz w:val="24"/>
          <w:szCs w:val="24"/>
        </w:rPr>
        <w:t>Compensatória, para a infração descrita acima na alínea “b”, de 5% (cinco por cento) a 15% (quinze por cento) do valor da contratação</w:t>
      </w:r>
      <w:r>
        <w:rPr>
          <w:rStyle w:val="Normaltextrun"/>
          <w:rFonts w:ascii="Calibri" w:hAnsi="Calibri"/>
          <w:i w:val="false"/>
          <w:iCs/>
          <w:color w:val="auto"/>
          <w:sz w:val="24"/>
          <w:szCs w:val="24"/>
        </w:rPr>
        <w:t>.</w:t>
      </w:r>
    </w:p>
    <w:p>
      <w:pPr>
        <w:pStyle w:val="Nvel4-R"/>
        <w:numPr>
          <w:ilvl w:val="3"/>
          <w:numId w:val="123"/>
        </w:numPr>
        <w:ind w:hanging="0" w:left="567"/>
        <w:rPr/>
      </w:pPr>
      <w:bookmarkStart w:id="11" w:name="_Hlk175669195"/>
      <w:r>
        <w:rPr>
          <w:rFonts w:ascii="Calibri" w:hAnsi="Calibri"/>
          <w:i w:val="false"/>
          <w:iCs/>
          <w:color w:val="auto"/>
          <w:sz w:val="24"/>
          <w:szCs w:val="24"/>
        </w:rPr>
        <w:t>Compensatória, em substituição à multa moratória para a infração descrita acima na alínea “d”, de 2% (dois por cento) a 10% (dez por cento) do valor da contratação</w:t>
      </w:r>
      <w:r>
        <w:rPr>
          <w:rStyle w:val="Normaltextrun"/>
          <w:rFonts w:ascii="Calibri" w:hAnsi="Calibri"/>
          <w:i w:val="false"/>
          <w:iCs/>
          <w:color w:val="auto"/>
          <w:sz w:val="24"/>
          <w:szCs w:val="24"/>
        </w:rPr>
        <w:t>.</w:t>
      </w:r>
      <w:bookmarkEnd w:id="11"/>
    </w:p>
    <w:p>
      <w:pPr>
        <w:pStyle w:val="Nvel4-R"/>
        <w:numPr>
          <w:ilvl w:val="3"/>
          <w:numId w:val="124"/>
        </w:numPr>
        <w:ind w:hanging="0" w:left="567"/>
        <w:rPr>
          <w:rFonts w:ascii="Calibri" w:hAnsi="Calibri"/>
          <w:sz w:val="24"/>
          <w:szCs w:val="24"/>
        </w:rPr>
      </w:pPr>
      <w:r>
        <w:rPr>
          <w:rFonts w:ascii="Calibri" w:hAnsi="Calibri"/>
          <w:i w:val="false"/>
          <w:iCs/>
          <w:color w:val="auto"/>
          <w:sz w:val="24"/>
          <w:szCs w:val="24"/>
        </w:rPr>
        <w:t>Compensatória, para a infração descrita acima na alínea “a”, de 2% (dois por cento) a 10% (dez por cento) do valor da contratação, ressalvadas as seguintes infrações também enquadráveis nessa alínea</w:t>
      </w:r>
    </w:p>
    <w:p>
      <w:pPr>
        <w:pStyle w:val="Nivel5"/>
        <w:numPr>
          <w:ilvl w:val="4"/>
          <w:numId w:val="125"/>
        </w:numPr>
        <w:ind w:hanging="0" w:left="851"/>
        <w:rPr/>
      </w:pPr>
      <w:r>
        <w:rPr>
          <w:rFonts w:ascii="Calibri" w:hAnsi="Calibri"/>
          <w:i w:val="false"/>
          <w:iCs/>
          <w:color w:val="auto"/>
          <w:sz w:val="24"/>
          <w:szCs w:val="24"/>
        </w:rPr>
        <w:t>a) o fornecimento de bens em quantidade inferior à contratada, sem a devida reposição no prazo estabelecido;</w:t>
        <w:br/>
        <w:t>b) o fornecimento de bens em desacordo com as especificações técnicas exigidas, ainda que parcialmente atendidas;</w:t>
        <w:br/>
        <w:t>c) a entrega de produtos com embalagem inadequada, que comprometa a conservação, integridade ou rastreabilidade do material;</w:t>
        <w:br/>
        <w:t>d) o descumprimento reiterado de prazos de entrega, ainda que sanado posteriormente, quando causar prejuízo às atividades da Administração;</w:t>
        <w:br/>
        <w:t>e) a substituição indevida de insumos originais ou certificados, quando não autorizada pela fiscalização do contrato;</w:t>
        <w:br/>
        <w:t>f) a ausência de reposição ou substituição de itens defeituosos dentro do prazo fixado pela Administração</w:t>
      </w:r>
      <w:r>
        <w:rPr>
          <w:rStyle w:val="Normaltextrun"/>
          <w:rFonts w:ascii="Calibri" w:hAnsi="Calibri"/>
          <w:i w:val="false"/>
          <w:iCs/>
          <w:color w:val="auto"/>
          <w:sz w:val="24"/>
          <w:szCs w:val="24"/>
        </w:rPr>
        <w:t>;</w:t>
      </w:r>
      <w:r>
        <w:rPr>
          <w:rStyle w:val="Normaltextrun"/>
          <w:rFonts w:ascii="Calibri" w:hAnsi="Calibri"/>
          <w:i w:val="false"/>
          <w:iCs/>
          <w:color w:val="auto"/>
          <w:sz w:val="24"/>
          <w:szCs w:val="24"/>
        </w:rPr>
      </w:r>
      <w:commentRangeEnd w:id="18"/>
      <w:r>
        <w:commentReference w:id="18"/>
      </w:r>
      <w:commentRangeEnd w:id="17"/>
      <w:r>
        <w:commentReference w:id="17"/>
      </w:r>
      <w:r>
        <w:rPr>
          <w:rStyle w:val="Normaltextrun"/>
          <w:rFonts w:ascii="Calibri" w:hAnsi="Calibri"/>
          <w:i w:val="false"/>
          <w:iCs/>
          <w:color w:val="auto"/>
          <w:sz w:val="24"/>
          <w:szCs w:val="24"/>
        </w:rPr>
      </w:r>
    </w:p>
    <w:p>
      <w:pPr>
        <w:pStyle w:val="Nvel02"/>
        <w:numPr>
          <w:ilvl w:val="1"/>
          <w:numId w:val="3"/>
        </w:numPr>
        <w:ind w:hanging="0" w:left="0"/>
        <w:rPr/>
      </w:pPr>
      <w:r>
        <w:rPr>
          <w:rStyle w:val="Normaltextrun"/>
          <w:color w:val="000000"/>
          <w:sz w:val="24"/>
          <w:szCs w:val="24"/>
        </w:rPr>
        <w:t xml:space="preserve">A aplicação das sanções previstas </w:t>
      </w:r>
      <w:bookmarkStart w:id="12" w:name="_Hlk170830409"/>
      <w:r>
        <w:rPr>
          <w:rStyle w:val="Normaltextrun"/>
          <w:color w:val="000000"/>
          <w:sz w:val="24"/>
          <w:szCs w:val="24"/>
        </w:rPr>
        <w:t xml:space="preserve">neste </w:t>
      </w:r>
      <w:r>
        <w:rPr>
          <w:sz w:val="24"/>
          <w:szCs w:val="24"/>
        </w:rPr>
        <w:t xml:space="preserve">Termo de Referência </w:t>
      </w:r>
      <w:bookmarkEnd w:id="12"/>
      <w:r>
        <w:rPr>
          <w:rStyle w:val="Normaltextrun"/>
          <w:color w:val="000000"/>
          <w:sz w:val="24"/>
          <w:szCs w:val="24"/>
        </w:rPr>
        <w:t>não exclui, em hipótese alguma, a obrigação de reparação integral do dano causado ao Contratante</w:t>
      </w:r>
      <w:r>
        <w:rPr>
          <w:rStyle w:val="Normaltextrun"/>
          <w:sz w:val="24"/>
          <w:szCs w:val="24"/>
        </w:rPr>
        <w:t>.</w:t>
      </w:r>
    </w:p>
    <w:p>
      <w:pPr>
        <w:pStyle w:val="Nvel02"/>
        <w:numPr>
          <w:ilvl w:val="1"/>
          <w:numId w:val="3"/>
        </w:numPr>
        <w:ind w:hanging="0" w:left="0"/>
        <w:rPr/>
      </w:pPr>
      <w:r>
        <w:rPr>
          <w:rStyle w:val="Normaltextrun"/>
          <w:color w:val="000000"/>
          <w:sz w:val="24"/>
          <w:szCs w:val="24"/>
        </w:rPr>
        <w:t xml:space="preserve">Todas as sanções previstas neste </w:t>
      </w:r>
      <w:r>
        <w:rPr>
          <w:sz w:val="24"/>
          <w:szCs w:val="24"/>
        </w:rPr>
        <w:t>Termo de Referência</w:t>
      </w:r>
      <w:r>
        <w:rPr>
          <w:rStyle w:val="Normaltextrun"/>
          <w:color w:val="000000"/>
          <w:sz w:val="24"/>
          <w:szCs w:val="24"/>
        </w:rPr>
        <w:t xml:space="preserve"> poderão ser aplicadas cumulativamente com a multa</w:t>
      </w:r>
      <w:r>
        <w:rPr>
          <w:rStyle w:val="Normaltextrun"/>
          <w:sz w:val="24"/>
          <w:szCs w:val="24"/>
        </w:rPr>
        <w:t>.</w:t>
      </w:r>
    </w:p>
    <w:p>
      <w:pPr>
        <w:pStyle w:val="Nvel02"/>
        <w:numPr>
          <w:ilvl w:val="1"/>
          <w:numId w:val="3"/>
        </w:numPr>
        <w:ind w:hanging="0" w:left="0"/>
        <w:rPr/>
      </w:pPr>
      <w:r>
        <w:rPr>
          <w:sz w:val="24"/>
          <w:szCs w:val="24"/>
        </w:rPr>
        <w:t xml:space="preserve">Antes da aplicação da </w:t>
      </w:r>
      <w:r>
        <w:rPr>
          <w:rStyle w:val="Normaltextrun"/>
          <w:sz w:val="24"/>
          <w:szCs w:val="24"/>
        </w:rPr>
        <w:t>multa</w:t>
      </w:r>
      <w:r>
        <w:rPr>
          <w:sz w:val="24"/>
          <w:szCs w:val="24"/>
        </w:rPr>
        <w:t xml:space="preserve"> será facultada a defesa do interessado no prazo de 15 (quinze) dias úteis, contado da data de sua intimação</w:t>
      </w:r>
      <w:r>
        <w:rPr>
          <w:rStyle w:val="Normaltextrun"/>
          <w:sz w:val="24"/>
          <w:szCs w:val="24"/>
        </w:rPr>
        <w:t>.</w:t>
      </w:r>
    </w:p>
    <w:p>
      <w:pPr>
        <w:pStyle w:val="Nvel02"/>
        <w:numPr>
          <w:ilvl w:val="1"/>
          <w:numId w:val="3"/>
        </w:numPr>
        <w:ind w:hanging="0" w:left="0"/>
        <w:rPr/>
      </w:pPr>
      <w:r>
        <w:rPr>
          <w:rStyle w:val="Normaltextrun"/>
          <w:color w:val="000000"/>
          <w:sz w:val="24"/>
          <w:szCs w:val="24"/>
        </w:rPr>
        <w:t xml:space="preserve">Se a multa aplicada e as indenizações cabíveis forem superiores ao valor do pagamento </w:t>
      </w:r>
      <w:r>
        <w:rPr>
          <w:sz w:val="24"/>
          <w:szCs w:val="24"/>
        </w:rPr>
        <w:t>eventualmente</w:t>
      </w:r>
      <w:r>
        <w:rPr>
          <w:rStyle w:val="Normaltextrun"/>
          <w:color w:val="000000"/>
          <w:sz w:val="24"/>
          <w:szCs w:val="24"/>
        </w:rPr>
        <w:t xml:space="preserve"> devido pelo Contratante ao Contratado, além da perda desse valor, a diferença será descontada da garantia prestada ou será cobrada judicialmente.</w:t>
      </w:r>
    </w:p>
    <w:p>
      <w:pPr>
        <w:pStyle w:val="Nvel02"/>
        <w:numPr>
          <w:ilvl w:val="1"/>
          <w:numId w:val="3"/>
        </w:numPr>
        <w:ind w:hanging="0" w:left="0"/>
        <w:rPr/>
      </w:pPr>
      <w:r>
        <w:rPr>
          <w:rStyle w:val="Normaltextrun"/>
          <w:color w:val="000000"/>
          <w:sz w:val="24"/>
          <w:szCs w:val="24"/>
        </w:rPr>
        <w:t xml:space="preserve">A multa poderá ser recolhida </w:t>
      </w:r>
      <w:r>
        <w:rPr>
          <w:sz w:val="24"/>
          <w:szCs w:val="24"/>
        </w:rPr>
        <w:t>administrativamente</w:t>
      </w:r>
      <w:r>
        <w:rPr>
          <w:rStyle w:val="Normaltextrun"/>
          <w:color w:val="000000"/>
          <w:sz w:val="24"/>
          <w:szCs w:val="24"/>
        </w:rPr>
        <w:t xml:space="preserve"> no prazo máximo de </w:t>
      </w:r>
      <w:r>
        <w:rPr>
          <w:rStyle w:val="Normaltextrun"/>
          <w:i/>
          <w:sz w:val="24"/>
          <w:szCs w:val="24"/>
        </w:rPr>
        <w:t>30</w:t>
      </w:r>
      <w:r>
        <w:rPr>
          <w:rStyle w:val="Normaltextrun"/>
          <w:sz w:val="24"/>
          <w:szCs w:val="24"/>
        </w:rPr>
        <w:t xml:space="preserve"> (</w:t>
      </w:r>
      <w:r>
        <w:rPr>
          <w:rStyle w:val="Normaltextrun"/>
          <w:i/>
          <w:iCs w:val="false"/>
          <w:sz w:val="24"/>
          <w:szCs w:val="24"/>
        </w:rPr>
        <w:t>trinta</w:t>
      </w:r>
      <w:r>
        <w:rPr>
          <w:rStyle w:val="Normaltextrun"/>
          <w:sz w:val="24"/>
          <w:szCs w:val="24"/>
        </w:rPr>
        <w:t xml:space="preserve">) </w:t>
      </w:r>
      <w:r>
        <w:rPr>
          <w:rStyle w:val="Normaltextrun"/>
          <w:color w:val="000000"/>
          <w:sz w:val="24"/>
          <w:szCs w:val="24"/>
        </w:rPr>
        <w:t>dias, a contar da data do recebimento da comunicação enviada pela autoridade competente.</w:t>
      </w:r>
    </w:p>
    <w:p>
      <w:pPr>
        <w:pStyle w:val="Nvel02"/>
        <w:numPr>
          <w:ilvl w:val="1"/>
          <w:numId w:val="3"/>
        </w:numPr>
        <w:ind w:hanging="0" w:left="0"/>
        <w:rPr/>
      </w:pPr>
      <w:r>
        <w:rPr>
          <w:rStyle w:val="Normaltextrun"/>
          <w:color w:val="000000"/>
          <w:sz w:val="24"/>
          <w:szCs w:val="24"/>
        </w:rPr>
        <w:t xml:space="preserve">A aplicação das sanções realizar-se-á em processo administrativo que assegure o contraditório e a ampla defesa ao Contratado, observando-se o procedimento previsto no caput e </w:t>
      </w:r>
      <w:r>
        <w:rPr>
          <w:rStyle w:val="Normaltextrun"/>
          <w:sz w:val="24"/>
          <w:szCs w:val="24"/>
        </w:rPr>
        <w:t>parágrafos do art. 158 da Lei nº 14.133, de 2021, para as penalidades de impedimento de licitar e contratar e de</w:t>
      </w:r>
      <w:r>
        <w:rPr>
          <w:rStyle w:val="Normaltextrun"/>
          <w:color w:val="000000"/>
          <w:sz w:val="24"/>
          <w:szCs w:val="24"/>
        </w:rPr>
        <w:t xml:space="preserve"> declaração de inidoneidade para licitar ou contratar.</w:t>
      </w:r>
    </w:p>
    <w:p>
      <w:pPr>
        <w:pStyle w:val="Nivel3"/>
        <w:numPr>
          <w:ilvl w:val="2"/>
          <w:numId w:val="126"/>
        </w:numPr>
        <w:ind w:hanging="0" w:left="284"/>
        <w:rPr/>
      </w:pPr>
      <w:r>
        <w:rPr>
          <w:rStyle w:val="Normaltextrun"/>
          <w:rFonts w:ascii="Calibri" w:hAnsi="Calibri"/>
          <w:sz w:val="24"/>
          <w:szCs w:val="24"/>
        </w:rPr>
        <w:t>Para a garantia da ampla defesa e contraditório, as notificações serão enviadas eletronicamente para os endereços de e-mail informados na proposta comercial, bem como os cadastrados pela empresa no SICAF.</w:t>
      </w:r>
    </w:p>
    <w:p>
      <w:pPr>
        <w:pStyle w:val="Nivel3"/>
        <w:numPr>
          <w:ilvl w:val="2"/>
          <w:numId w:val="127"/>
        </w:numPr>
        <w:ind w:hanging="0" w:left="284"/>
        <w:rPr/>
      </w:pPr>
      <w:r>
        <w:rPr>
          <w:rStyle w:val="Normaltextrun"/>
          <w:rFonts w:ascii="Calibri" w:hAnsi="Calibri"/>
          <w:sz w:val="24"/>
          <w:szCs w:val="24"/>
        </w:rPr>
        <w:t>Os endereços de e-mail informados na proposta comercial e/ou cadastrados no SICAF serão considerados de uso contínuo da empresa, não cabendo alegação de desconhecimento das comunicações a eles comprovadamente enviadas.</w:t>
      </w:r>
    </w:p>
    <w:p>
      <w:pPr>
        <w:pStyle w:val="Nvel02"/>
        <w:numPr>
          <w:ilvl w:val="1"/>
          <w:numId w:val="3"/>
        </w:numPr>
        <w:ind w:hanging="0" w:left="0"/>
        <w:rPr/>
      </w:pPr>
      <w:r>
        <w:rPr>
          <w:rStyle w:val="Normaltextrun"/>
          <w:color w:val="000000"/>
          <w:sz w:val="24"/>
          <w:szCs w:val="24"/>
        </w:rPr>
        <w:t xml:space="preserve">Na aplicação </w:t>
      </w:r>
      <w:r>
        <w:rPr>
          <w:sz w:val="24"/>
          <w:szCs w:val="24"/>
        </w:rPr>
        <w:t>das</w:t>
      </w:r>
      <w:r>
        <w:rPr>
          <w:rStyle w:val="Normaltextrun"/>
          <w:color w:val="000000"/>
          <w:sz w:val="24"/>
          <w:szCs w:val="24"/>
        </w:rPr>
        <w:t xml:space="preserve"> sanções serão considerados:</w:t>
      </w:r>
    </w:p>
    <w:p>
      <w:pPr>
        <w:pStyle w:val="Nivel3"/>
        <w:numPr>
          <w:ilvl w:val="2"/>
          <w:numId w:val="128"/>
        </w:numPr>
        <w:ind w:hanging="0" w:left="284"/>
        <w:rPr/>
      </w:pPr>
      <w:r>
        <w:rPr>
          <w:rStyle w:val="Normaltextrun"/>
          <w:rFonts w:ascii="Calibri" w:hAnsi="Calibri"/>
          <w:sz w:val="24"/>
          <w:szCs w:val="24"/>
        </w:rPr>
        <w:t>a natureza e a gravidade da infração cometida;</w:t>
      </w:r>
    </w:p>
    <w:p>
      <w:pPr>
        <w:pStyle w:val="Nivel3"/>
        <w:numPr>
          <w:ilvl w:val="2"/>
          <w:numId w:val="129"/>
        </w:numPr>
        <w:ind w:hanging="0" w:left="284"/>
        <w:rPr/>
      </w:pPr>
      <w:r>
        <w:rPr>
          <w:rStyle w:val="Normaltextrun"/>
          <w:rFonts w:ascii="Calibri" w:hAnsi="Calibri"/>
          <w:sz w:val="24"/>
          <w:szCs w:val="24"/>
        </w:rPr>
        <w:t>as peculiaridades do caso concreto;</w:t>
      </w:r>
    </w:p>
    <w:p>
      <w:pPr>
        <w:pStyle w:val="Nivel3"/>
        <w:numPr>
          <w:ilvl w:val="2"/>
          <w:numId w:val="130"/>
        </w:numPr>
        <w:ind w:hanging="0" w:left="284"/>
        <w:rPr/>
      </w:pPr>
      <w:r>
        <w:rPr>
          <w:rStyle w:val="Normaltextrun"/>
          <w:rFonts w:ascii="Calibri" w:hAnsi="Calibri"/>
          <w:sz w:val="24"/>
          <w:szCs w:val="24"/>
        </w:rPr>
        <w:t>as circunstâncias agravantes ou atenuantes;</w:t>
      </w:r>
    </w:p>
    <w:p>
      <w:pPr>
        <w:pStyle w:val="Nivel3"/>
        <w:numPr>
          <w:ilvl w:val="2"/>
          <w:numId w:val="131"/>
        </w:numPr>
        <w:ind w:hanging="0" w:left="284"/>
        <w:rPr/>
      </w:pPr>
      <w:r>
        <w:rPr>
          <w:rFonts w:ascii="Calibri" w:hAnsi="Calibri"/>
          <w:sz w:val="24"/>
          <w:szCs w:val="24"/>
        </w:rPr>
        <w:t>os danos que dela provierem para o Contratante;</w:t>
      </w:r>
      <w:r>
        <w:rPr>
          <w:rStyle w:val="Normaltextrun"/>
          <w:rFonts w:cs="Arial" w:ascii="Calibri" w:hAnsi="Calibri"/>
          <w:sz w:val="24"/>
          <w:szCs w:val="24"/>
        </w:rPr>
        <w:t xml:space="preserve"> </w:t>
      </w:r>
      <w:r>
        <w:rPr>
          <w:rStyle w:val="Normaltextrun"/>
          <w:rFonts w:ascii="Calibri" w:hAnsi="Calibri"/>
          <w:sz w:val="24"/>
          <w:szCs w:val="24"/>
        </w:rPr>
        <w:t>e</w:t>
      </w:r>
    </w:p>
    <w:p>
      <w:pPr>
        <w:pStyle w:val="Nivel3"/>
        <w:numPr>
          <w:ilvl w:val="2"/>
          <w:numId w:val="132"/>
        </w:numPr>
        <w:ind w:hanging="0" w:left="284"/>
        <w:rPr/>
      </w:pPr>
      <w:r>
        <w:rPr>
          <w:rStyle w:val="Normaltextrun"/>
          <w:rFonts w:ascii="Calibri" w:hAnsi="Calibri"/>
          <w:sz w:val="24"/>
          <w:szCs w:val="24"/>
        </w:rPr>
        <w:t>a implantação ou o aperfeiçoamento de programa de integridade, conforme normas e orientações dos órgãos de controle.</w:t>
      </w:r>
    </w:p>
    <w:p>
      <w:pPr>
        <w:pStyle w:val="Nvel02"/>
        <w:numPr>
          <w:ilvl w:val="1"/>
          <w:numId w:val="3"/>
        </w:numPr>
        <w:ind w:hanging="0" w:left="0"/>
        <w:rPr/>
      </w:pPr>
      <w:r>
        <w:rPr>
          <w:rStyle w:val="Normaltextrun"/>
          <w:color w:val="000000"/>
          <w:sz w:val="24"/>
          <w:szCs w:val="24"/>
        </w:rPr>
        <w:t xml:space="preserve">Os atos previstos como infrações </w:t>
      </w:r>
      <w:r>
        <w:rPr>
          <w:rStyle w:val="Normaltextrun"/>
          <w:sz w:val="24"/>
          <w:szCs w:val="24"/>
        </w:rPr>
        <w:t xml:space="preserve">administrativas na Lei nº 14.133, de 2021, ou em outras leis de licitações e contratos da </w:t>
      </w:r>
      <w:r>
        <w:rPr>
          <w:sz w:val="24"/>
          <w:szCs w:val="24"/>
        </w:rPr>
        <w:t>Administração</w:t>
      </w:r>
      <w:r>
        <w:rPr>
          <w:rStyle w:val="Normaltextrun"/>
          <w:sz w:val="24"/>
          <w:szCs w:val="24"/>
        </w:rPr>
        <w:t xml:space="preserve"> Pública que também sejam tipificados como atos lesivos na Lei nº 12.846, de 2013, serão apurados e julgados conj</w:t>
      </w:r>
      <w:r>
        <w:rPr>
          <w:rStyle w:val="Normaltextrun"/>
          <w:color w:val="000000"/>
          <w:sz w:val="24"/>
          <w:szCs w:val="24"/>
        </w:rPr>
        <w:t xml:space="preserve">untamente, nos mesmos autos, observados o rito procedimental e autoridade competente definidos na </w:t>
      </w:r>
      <w:r>
        <w:rPr>
          <w:rStyle w:val="Normaltextrun"/>
          <w:sz w:val="24"/>
          <w:szCs w:val="24"/>
        </w:rPr>
        <w:t>referida Lei.</w:t>
      </w:r>
    </w:p>
    <w:p>
      <w:pPr>
        <w:pStyle w:val="Nvel02"/>
        <w:numPr>
          <w:ilvl w:val="1"/>
          <w:numId w:val="3"/>
        </w:numPr>
        <w:ind w:hanging="0" w:left="0"/>
        <w:rPr/>
      </w:pPr>
      <w:r>
        <w:rPr>
          <w:rStyle w:val="Normaltextrun"/>
          <w:color w:val="000000"/>
          <w:sz w:val="24"/>
          <w:szCs w:val="24"/>
        </w:rPr>
        <w:t xml:space="preserve">A personalidade jurídica do Contratado poderá ser desconsiderada sempre que utilizada com abuso do direito para facilitar, encobrir ou dissimular a prática dos atos ilícitos </w:t>
      </w:r>
      <w:bookmarkStart w:id="13" w:name="_Hlk170830482"/>
      <w:r>
        <w:rPr>
          <w:rStyle w:val="Normaltextrun"/>
          <w:color w:val="000000"/>
          <w:sz w:val="24"/>
          <w:szCs w:val="24"/>
        </w:rPr>
        <w:t xml:space="preserve">previstos </w:t>
      </w:r>
      <w:r>
        <w:rPr>
          <w:sz w:val="24"/>
          <w:szCs w:val="24"/>
        </w:rPr>
        <w:t>neste Termo de Referência</w:t>
      </w:r>
      <w:bookmarkEnd w:id="13"/>
      <w:r>
        <w:rPr>
          <w:rStyle w:val="Normaltextrun"/>
          <w:color w:val="000000"/>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pPr>
        <w:pStyle w:val="Nvel02"/>
        <w:numPr>
          <w:ilvl w:val="1"/>
          <w:numId w:val="3"/>
        </w:numPr>
        <w:ind w:hanging="0" w:left="0"/>
        <w:rPr>
          <w:highlight w:val="none"/>
          <w:shd w:fill="auto" w:val="clear"/>
        </w:rPr>
      </w:pPr>
      <w:r>
        <w:rPr>
          <w:rStyle w:val="Normaltextrun"/>
          <w:color w:val="000000"/>
          <w:sz w:val="24"/>
          <w:szCs w:val="24"/>
        </w:rPr>
        <w:t xml:space="preserve">O Contratante deverá, no prazo máximo </w:t>
      </w:r>
      <w:r>
        <w:rPr>
          <w:rStyle w:val="Normaltextrun"/>
          <w:sz w:val="24"/>
          <w:szCs w:val="24"/>
        </w:rPr>
        <w:t>de</w:t>
      </w:r>
      <w:r>
        <w:rPr>
          <w:rStyle w:val="Normaltextrun"/>
          <w:color w:val="000000"/>
          <w:sz w:val="24"/>
          <w:szCs w:val="24"/>
        </w:rPr>
        <w:t xml:space="preserve"> 15 (quinze) dias úteis, contado da data de aplicação da sanção, </w:t>
      </w:r>
      <w:r>
        <w:rPr>
          <w:sz w:val="24"/>
          <w:szCs w:val="24"/>
        </w:rPr>
        <w:t>informar</w:t>
      </w:r>
      <w:r>
        <w:rPr>
          <w:rStyle w:val="Normaltextrun"/>
          <w:color w:val="000000"/>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pPr>
        <w:pStyle w:val="Nivel3"/>
        <w:numPr>
          <w:ilvl w:val="2"/>
          <w:numId w:val="3"/>
        </w:numPr>
        <w:ind w:hanging="0" w:left="284"/>
        <w:rPr>
          <w:rFonts w:ascii="Calibri" w:hAnsi="Calibri"/>
          <w:sz w:val="24"/>
          <w:szCs w:val="24"/>
          <w:highlight w:val="none"/>
          <w:shd w:fill="auto" w:val="clear"/>
        </w:rPr>
      </w:pPr>
      <w:r>
        <w:rPr>
          <w:rFonts w:ascii="Calibri" w:hAnsi="Calibri"/>
          <w:sz w:val="24"/>
          <w:szCs w:val="24"/>
          <w:shd w:fill="auto" w:val="clear"/>
        </w:rPr>
        <w:t>As penalidades serão obrigatoriamente registradas no SICAF.</w:t>
      </w:r>
    </w:p>
    <w:p>
      <w:pPr>
        <w:pStyle w:val="Nvel02"/>
        <w:numPr>
          <w:ilvl w:val="1"/>
          <w:numId w:val="3"/>
        </w:numPr>
        <w:ind w:hanging="0" w:left="0"/>
        <w:rPr/>
      </w:pPr>
      <w:r>
        <w:rPr>
          <w:rStyle w:val="Normaltextrun"/>
          <w:sz w:val="24"/>
          <w:szCs w:val="24"/>
          <w:shd w:fill="auto" w:val="clear"/>
        </w:rPr>
        <w:t>As sanções de impedimento de licitar e contratar e declaração de in</w:t>
      </w:r>
      <w:r>
        <w:rPr>
          <w:rStyle w:val="Normaltextrun"/>
          <w:sz w:val="24"/>
          <w:szCs w:val="24"/>
        </w:rPr>
        <w:t xml:space="preserve">idoneidade para licitar ou contratar são passíveis </w:t>
      </w:r>
      <w:r>
        <w:rPr>
          <w:sz w:val="24"/>
          <w:szCs w:val="24"/>
        </w:rPr>
        <w:t>de</w:t>
      </w:r>
      <w:r>
        <w:rPr>
          <w:rStyle w:val="Normaltextrun"/>
          <w:sz w:val="24"/>
          <w:szCs w:val="24"/>
        </w:rPr>
        <w:t xml:space="preserve"> reabilitação na forma do art. 163 da Lei nº 14.133, de 2021.</w:t>
      </w:r>
    </w:p>
    <w:p>
      <w:pPr>
        <w:pStyle w:val="Nvel02"/>
        <w:numPr>
          <w:ilvl w:val="1"/>
          <w:numId w:val="3"/>
        </w:numPr>
        <w:ind w:hanging="0" w:left="0"/>
        <w:rPr/>
      </w:pPr>
      <w:r>
        <w:rPr>
          <w:sz w:val="24"/>
          <w:szCs w:val="24"/>
        </w:rPr>
        <w:t>Os</w:t>
      </w:r>
      <w:r>
        <w:rPr>
          <w:rStyle w:val="Normaltextrun"/>
          <w:color w:val="000000"/>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w:t>
      </w:r>
      <w:r>
        <w:rPr>
          <w:rStyle w:val="Normaltextrun"/>
          <w:sz w:val="24"/>
          <w:szCs w:val="24"/>
        </w:rPr>
        <w:t>da Instrução Normativa SEGES/ME nº 26, de 13 de abril de 2022.</w:t>
      </w:r>
    </w:p>
    <w:p>
      <w:pPr>
        <w:pStyle w:val="Nivel01"/>
        <w:numPr>
          <w:ilvl w:val="0"/>
          <w:numId w:val="3"/>
        </w:numPr>
        <w:ind w:hanging="357" w:left="357"/>
        <w:rPr>
          <w:rFonts w:ascii="Calibri" w:hAnsi="Calibri"/>
          <w:sz w:val="24"/>
          <w:szCs w:val="24"/>
        </w:rPr>
      </w:pPr>
      <w:r>
        <w:rPr>
          <w:rFonts w:ascii="Calibri" w:hAnsi="Calibri"/>
          <w:sz w:val="24"/>
          <w:szCs w:val="24"/>
        </w:rPr>
        <w:t>CRITÉRIOS DE MEDIÇÃO E DE PAGAMENTO</w:t>
      </w:r>
    </w:p>
    <w:p>
      <w:pPr>
        <w:pStyle w:val="Nvel1-SemNumerao"/>
        <w:ind w:hanging="0" w:left="0"/>
        <w:rPr>
          <w:rFonts w:ascii="Calibri" w:hAnsi="Calibri"/>
          <w:sz w:val="24"/>
          <w:szCs w:val="24"/>
        </w:rPr>
      </w:pPr>
      <w:r>
        <w:rPr>
          <w:rFonts w:ascii="Calibri" w:hAnsi="Calibri"/>
          <w:sz w:val="24"/>
          <w:szCs w:val="24"/>
        </w:rPr>
        <w:t>Recebimento</w:t>
      </w:r>
    </w:p>
    <w:p>
      <w:pPr>
        <w:pStyle w:val="Nvel02"/>
        <w:numPr>
          <w:ilvl w:val="1"/>
          <w:numId w:val="3"/>
        </w:numPr>
        <w:ind w:hanging="0" w:left="0"/>
        <w:rPr>
          <w:rFonts w:ascii="Calibri" w:hAnsi="Calibri"/>
          <w:sz w:val="24"/>
          <w:szCs w:val="24"/>
        </w:rPr>
      </w:pPr>
      <w:commentRangeStart w:id="19"/>
      <w:r>
        <w:rPr>
          <w:sz w:val="24"/>
          <w:szCs w:val="24"/>
          <w:lang w:eastAsia="en-US"/>
        </w:rPr>
        <w:t>Os bens serão recebidos provisoriamente, de forma sumária</w:t>
      </w:r>
      <w:r>
        <w:rPr>
          <w:sz w:val="24"/>
          <w:szCs w:val="24"/>
          <w:lang w:eastAsia="en-US"/>
        </w:rPr>
      </w:r>
      <w:commentRangeEnd w:id="19"/>
      <w:r>
        <w:commentReference w:id="19"/>
      </w:r>
      <w:r>
        <w:rPr>
          <w:sz w:val="24"/>
          <w:szCs w:val="24"/>
          <w:lang w:eastAsia="en-US"/>
        </w:rPr>
        <w:t xml:space="preserve">, no ato da entrega, juntamente com a </w:t>
      </w:r>
      <w:r>
        <w:rPr>
          <w:rFonts w:eastAsia="Calibri"/>
          <w:sz w:val="24"/>
          <w:szCs w:val="24"/>
          <w:lang w:eastAsia="en-US"/>
        </w:rPr>
        <w:t>nota</w:t>
      </w:r>
      <w:r>
        <w:rPr>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vel02"/>
        <w:numPr>
          <w:ilvl w:val="1"/>
          <w:numId w:val="3"/>
        </w:numPr>
        <w:ind w:hanging="0" w:left="0"/>
        <w:rPr>
          <w:rFonts w:ascii="Calibri" w:hAnsi="Calibri"/>
          <w:sz w:val="24"/>
          <w:szCs w:val="24"/>
        </w:rPr>
      </w:pPr>
      <w:r>
        <w:rPr>
          <w:sz w:val="24"/>
          <w:szCs w:val="24"/>
          <w:lang w:eastAsia="en-US"/>
        </w:rPr>
        <w:t>Os bens poderão ser rejeitados, no todo ou em parte, inclusive antes do recebimento provisório, quando em desacordo com as especificações constantes no Termo de Referência e na proposta, devendo ser substituídos no prazo de 1 (um) dia a contar da notificação da contratada, às suas custas, sem prejuízo da aplicação das penalidades.</w:t>
      </w:r>
    </w:p>
    <w:p>
      <w:pPr>
        <w:pStyle w:val="Nvel02"/>
        <w:numPr>
          <w:ilvl w:val="1"/>
          <w:numId w:val="3"/>
        </w:numPr>
        <w:ind w:hanging="0" w:left="0"/>
        <w:rPr>
          <w:rFonts w:ascii="Calibri" w:hAnsi="Calibri"/>
          <w:sz w:val="24"/>
          <w:szCs w:val="24"/>
        </w:rPr>
      </w:pPr>
      <w:commentRangeStart w:id="20"/>
      <w:r>
        <w:rPr>
          <w:sz w:val="24"/>
          <w:szCs w:val="24"/>
          <w:lang w:eastAsia="en-US"/>
        </w:rPr>
        <w:t>O recebimento definitivo ocorrerá no prazo de 2 (dois) dias úteis, a contar do recebimento da nota fiscal ou instrumento de cobrança equivalente pela Administração, após a verificação da qualidade e quantidade do material e consequente aceitação mediante termo detalhado.</w:t>
      </w:r>
      <w:commentRangeEnd w:id="20"/>
      <w:r>
        <w:commentReference w:id="20"/>
      </w:r>
      <w:r>
        <w:rPr>
          <w:sz w:val="24"/>
          <w:szCs w:val="24"/>
          <w:lang w:eastAsia="en-US"/>
        </w:rPr>
      </w:r>
    </w:p>
    <w:p>
      <w:pPr>
        <w:pStyle w:val="Nvel02"/>
        <w:numPr>
          <w:ilvl w:val="1"/>
          <w:numId w:val="3"/>
        </w:numPr>
        <w:ind w:hanging="0" w:left="0"/>
        <w:rPr>
          <w:rFonts w:ascii="Calibri" w:hAnsi="Calibri"/>
          <w:sz w:val="24"/>
          <w:szCs w:val="24"/>
        </w:rPr>
      </w:pPr>
      <w:commentRangeStart w:id="21"/>
      <w:r>
        <w:rPr>
          <w:sz w:val="24"/>
          <w:szCs w:val="24"/>
          <w:lang w:eastAsia="en-US"/>
        </w:rPr>
        <w:t>Para as contratações decorrentes de despesas cujos valores não ultrapassem o limite de que trata o inciso II do art. 75 da Lei nº 14.133, de 2021, o prazo máximo para o recebimento definitivo será de até 2 (dois) dias úteis.</w:t>
      </w:r>
      <w:commentRangeEnd w:id="21"/>
      <w:r>
        <w:commentReference w:id="21"/>
      </w:r>
      <w:r>
        <w:rPr>
          <w:sz w:val="24"/>
          <w:szCs w:val="24"/>
          <w:lang w:eastAsia="en-US"/>
        </w:rPr>
      </w:r>
    </w:p>
    <w:p>
      <w:pPr>
        <w:pStyle w:val="Nvel02"/>
        <w:numPr>
          <w:ilvl w:val="1"/>
          <w:numId w:val="3"/>
        </w:numPr>
        <w:ind w:hanging="0" w:left="0"/>
        <w:rPr>
          <w:rFonts w:ascii="Calibri" w:hAnsi="Calibri"/>
          <w:sz w:val="24"/>
          <w:szCs w:val="24"/>
        </w:rPr>
      </w:pPr>
      <w:r>
        <w:rPr>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vel02"/>
        <w:numPr>
          <w:ilvl w:val="1"/>
          <w:numId w:val="3"/>
        </w:numPr>
        <w:ind w:hanging="0" w:left="0"/>
        <w:rPr>
          <w:rFonts w:ascii="Calibri" w:hAnsi="Calibri"/>
          <w:sz w:val="24"/>
          <w:szCs w:val="24"/>
        </w:rPr>
      </w:pPr>
      <w:r>
        <w:rPr>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pPr>
        <w:pStyle w:val="Nvel02"/>
        <w:numPr>
          <w:ilvl w:val="1"/>
          <w:numId w:val="3"/>
        </w:numPr>
        <w:ind w:hanging="0" w:left="0"/>
        <w:rPr>
          <w:rFonts w:ascii="Calibri" w:hAnsi="Calibri"/>
          <w:sz w:val="24"/>
          <w:szCs w:val="24"/>
        </w:rPr>
      </w:pPr>
      <w:r>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vel02"/>
        <w:numPr>
          <w:ilvl w:val="1"/>
          <w:numId w:val="3"/>
        </w:numPr>
        <w:ind w:hanging="0" w:left="0"/>
        <w:rPr>
          <w:rFonts w:ascii="Calibri" w:hAnsi="Calibri"/>
          <w:sz w:val="24"/>
          <w:szCs w:val="24"/>
        </w:rPr>
      </w:pPr>
      <w:r>
        <w:rPr>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02"/>
        <w:numPr>
          <w:ilvl w:val="1"/>
          <w:numId w:val="3"/>
        </w:numPr>
        <w:ind w:hanging="0" w:left="0"/>
        <w:rPr>
          <w:rFonts w:ascii="Calibri" w:hAnsi="Calibri"/>
          <w:sz w:val="24"/>
          <w:szCs w:val="24"/>
        </w:rPr>
      </w:pPr>
      <w:r>
        <w:rPr>
          <w:sz w:val="24"/>
          <w:szCs w:val="24"/>
        </w:rPr>
        <w:t>As atividades de montagem, instalação e quaisquer outras necessárias para o funcionamento ou uso do bem correrão por conta do Contratado e são condição para o recebimento do objeto.</w:t>
      </w:r>
    </w:p>
    <w:p>
      <w:pPr>
        <w:pStyle w:val="Nvel1-SemNumerao"/>
        <w:ind w:hanging="0" w:left="0"/>
        <w:rPr>
          <w:rFonts w:ascii="Calibri" w:hAnsi="Calibri"/>
          <w:sz w:val="24"/>
          <w:szCs w:val="24"/>
        </w:rPr>
      </w:pPr>
      <w:r>
        <w:rPr>
          <w:rFonts w:ascii="Calibri" w:hAnsi="Calibri"/>
          <w:sz w:val="24"/>
          <w:szCs w:val="24"/>
        </w:rPr>
        <w:t>Liquidação</w:t>
      </w:r>
    </w:p>
    <w:p>
      <w:pPr>
        <w:pStyle w:val="Nvel02"/>
        <w:numPr>
          <w:ilvl w:val="1"/>
          <w:numId w:val="3"/>
        </w:numPr>
        <w:ind w:hanging="0" w:left="0"/>
        <w:rPr>
          <w:rFonts w:ascii="Calibri" w:hAnsi="Calibri"/>
          <w:sz w:val="24"/>
          <w:szCs w:val="24"/>
        </w:rPr>
      </w:pPr>
      <w:r>
        <w:rPr>
          <w:sz w:val="24"/>
          <w:szCs w:val="24"/>
        </w:rPr>
        <w:t>Recebida a Nota Fiscal ou documento de cobrança equivalente, correrá o prazo de dez dias úteis para fins de liquidação, na forma desta seção, prorrogáveis por igual período, nos termos do art. 7º, §3º da Instrução Normativa SEGES/ME nº 77/2022.</w:t>
      </w:r>
    </w:p>
    <w:p>
      <w:pPr>
        <w:pStyle w:val="Nvel02"/>
        <w:numPr>
          <w:ilvl w:val="1"/>
          <w:numId w:val="3"/>
        </w:numPr>
        <w:ind w:hanging="0" w:left="0"/>
        <w:rPr>
          <w:rFonts w:ascii="Calibri" w:hAnsi="Calibri"/>
          <w:sz w:val="24"/>
          <w:szCs w:val="24"/>
        </w:rPr>
      </w:pPr>
      <w:r>
        <w:rPr>
          <w:sz w:val="24"/>
          <w:szCs w:val="24"/>
        </w:rPr>
        <w:t>O prazo de que trata o item anterior será reduzido à metade, mantendo-se a possibilidade de prorrogação, no caso de contratações decorrentes de despesas cujos valores não ultrapassem o limite de que trata o inciso II do art. 75 da Lei nº 14.133, de 2021.</w:t>
      </w:r>
    </w:p>
    <w:p>
      <w:pPr>
        <w:pStyle w:val="Nvel02"/>
        <w:numPr>
          <w:ilvl w:val="1"/>
          <w:numId w:val="3"/>
        </w:numPr>
        <w:ind w:hanging="0" w:left="0"/>
        <w:rPr>
          <w:rFonts w:ascii="Calibri" w:hAnsi="Calibri"/>
          <w:sz w:val="24"/>
          <w:szCs w:val="24"/>
        </w:rPr>
      </w:pPr>
      <w:r>
        <w:rPr>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33"/>
        </w:numPr>
        <w:ind w:hanging="0" w:left="284"/>
        <w:rPr>
          <w:rFonts w:ascii="Calibri" w:hAnsi="Calibri"/>
          <w:sz w:val="24"/>
          <w:szCs w:val="24"/>
        </w:rPr>
      </w:pPr>
      <w:r>
        <w:rPr>
          <w:rFonts w:ascii="Calibri" w:hAnsi="Calibri"/>
          <w:sz w:val="24"/>
          <w:szCs w:val="24"/>
        </w:rPr>
        <w:t>o prazo de validade;</w:t>
      </w:r>
    </w:p>
    <w:p>
      <w:pPr>
        <w:pStyle w:val="Nivel3"/>
        <w:numPr>
          <w:ilvl w:val="2"/>
          <w:numId w:val="134"/>
        </w:numPr>
        <w:ind w:hanging="0" w:left="284"/>
        <w:rPr>
          <w:rFonts w:ascii="Calibri" w:hAnsi="Calibri"/>
          <w:sz w:val="24"/>
          <w:szCs w:val="24"/>
        </w:rPr>
      </w:pPr>
      <w:r>
        <w:rPr>
          <w:rFonts w:ascii="Calibri" w:hAnsi="Calibri"/>
          <w:sz w:val="24"/>
          <w:szCs w:val="24"/>
        </w:rPr>
        <w:t xml:space="preserve">a data da emissão; </w:t>
      </w:r>
    </w:p>
    <w:p>
      <w:pPr>
        <w:pStyle w:val="Nivel3"/>
        <w:numPr>
          <w:ilvl w:val="2"/>
          <w:numId w:val="135"/>
        </w:numPr>
        <w:ind w:hanging="0" w:left="284"/>
        <w:rPr>
          <w:rFonts w:ascii="Calibri" w:hAnsi="Calibri"/>
          <w:sz w:val="24"/>
          <w:szCs w:val="24"/>
        </w:rPr>
      </w:pPr>
      <w:r>
        <w:rPr>
          <w:rFonts w:ascii="Calibri" w:hAnsi="Calibri"/>
          <w:sz w:val="24"/>
          <w:szCs w:val="24"/>
        </w:rPr>
        <w:t xml:space="preserve">os dados do contrato e do órgão contratante; </w:t>
      </w:r>
    </w:p>
    <w:p>
      <w:pPr>
        <w:pStyle w:val="Nivel3"/>
        <w:numPr>
          <w:ilvl w:val="2"/>
          <w:numId w:val="136"/>
        </w:numPr>
        <w:ind w:hanging="0" w:left="284"/>
        <w:rPr>
          <w:rFonts w:ascii="Calibri" w:hAnsi="Calibri"/>
          <w:sz w:val="24"/>
          <w:szCs w:val="24"/>
        </w:rPr>
      </w:pPr>
      <w:r>
        <w:rPr>
          <w:rFonts w:ascii="Calibri" w:hAnsi="Calibri"/>
          <w:sz w:val="24"/>
          <w:szCs w:val="24"/>
        </w:rPr>
        <w:t xml:space="preserve">o período respectivo de execução do contrato; </w:t>
      </w:r>
    </w:p>
    <w:p>
      <w:pPr>
        <w:pStyle w:val="Nivel3"/>
        <w:numPr>
          <w:ilvl w:val="2"/>
          <w:numId w:val="137"/>
        </w:numPr>
        <w:ind w:hanging="0" w:left="284"/>
        <w:rPr>
          <w:rFonts w:ascii="Calibri" w:hAnsi="Calibri"/>
          <w:sz w:val="24"/>
          <w:szCs w:val="24"/>
        </w:rPr>
      </w:pPr>
      <w:r>
        <w:rPr>
          <w:rFonts w:ascii="Calibri" w:hAnsi="Calibri"/>
          <w:sz w:val="24"/>
          <w:szCs w:val="24"/>
        </w:rPr>
        <w:t xml:space="preserve">o valor a pagar; e </w:t>
      </w:r>
    </w:p>
    <w:p>
      <w:pPr>
        <w:pStyle w:val="Nivel3"/>
        <w:numPr>
          <w:ilvl w:val="2"/>
          <w:numId w:val="138"/>
        </w:numPr>
        <w:ind w:hanging="0" w:left="284"/>
        <w:rPr>
          <w:rFonts w:ascii="Calibri" w:hAnsi="Calibri"/>
          <w:sz w:val="24"/>
          <w:szCs w:val="24"/>
        </w:rPr>
      </w:pPr>
      <w:r>
        <w:rPr>
          <w:rFonts w:ascii="Calibri" w:hAnsi="Calibri"/>
          <w:sz w:val="24"/>
          <w:szCs w:val="24"/>
        </w:rPr>
        <w:t>eventual destaque do valor de retenções tributárias cabíveis.</w:t>
      </w:r>
    </w:p>
    <w:p>
      <w:pPr>
        <w:pStyle w:val="Nvel02"/>
        <w:numPr>
          <w:ilvl w:val="1"/>
          <w:numId w:val="3"/>
        </w:numPr>
        <w:ind w:hanging="0" w:left="0"/>
        <w:rPr>
          <w:rFonts w:ascii="Calibri" w:hAnsi="Calibri"/>
          <w:sz w:val="24"/>
          <w:szCs w:val="24"/>
        </w:rPr>
      </w:pPr>
      <w:r>
        <w:rPr>
          <w:sz w:val="24"/>
          <w:szCs w:val="24"/>
        </w:rPr>
        <w:t xml:space="preserve"> </w:t>
      </w:r>
      <w:r>
        <w:rPr>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vel02"/>
        <w:numPr>
          <w:ilvl w:val="1"/>
          <w:numId w:val="3"/>
        </w:numPr>
        <w:ind w:hanging="0" w:left="0"/>
        <w:rPr>
          <w:rFonts w:ascii="Calibri" w:hAnsi="Calibri"/>
          <w:sz w:val="24"/>
          <w:szCs w:val="24"/>
        </w:rPr>
      </w:pPr>
      <w:r>
        <w:rPr>
          <w:sz w:val="24"/>
          <w:szCs w:val="24"/>
        </w:rPr>
        <w:t xml:space="preserve"> </w:t>
      </w:r>
      <w:r>
        <w:rPr>
          <w:sz w:val="24"/>
          <w:szCs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pPr>
        <w:pStyle w:val="Nvel02"/>
        <w:numPr>
          <w:ilvl w:val="1"/>
          <w:numId w:val="3"/>
        </w:numPr>
        <w:ind w:hanging="0" w:left="0"/>
        <w:rPr>
          <w:rFonts w:ascii="Calibri" w:hAnsi="Calibri"/>
          <w:sz w:val="24"/>
          <w:szCs w:val="24"/>
        </w:rPr>
      </w:pPr>
      <w:r>
        <w:rPr>
          <w:sz w:val="24"/>
          <w:szCs w:val="24"/>
        </w:rPr>
        <w:t>A Administração deverá realizar consulta ao SICAF para:</w:t>
      </w:r>
    </w:p>
    <w:p>
      <w:pPr>
        <w:pStyle w:val="Nivel3"/>
        <w:numPr>
          <w:ilvl w:val="2"/>
          <w:numId w:val="139"/>
        </w:numPr>
        <w:ind w:hanging="0" w:left="284"/>
        <w:rPr>
          <w:rFonts w:ascii="Calibri" w:hAnsi="Calibri"/>
          <w:sz w:val="24"/>
          <w:szCs w:val="24"/>
        </w:rPr>
      </w:pPr>
      <w:r>
        <w:rPr>
          <w:rFonts w:ascii="Calibri" w:hAnsi="Calibri"/>
          <w:sz w:val="24"/>
          <w:szCs w:val="24"/>
        </w:rPr>
        <w:t>verificar a manutenção das condições de habilitação exigidas;</w:t>
      </w:r>
    </w:p>
    <w:p>
      <w:pPr>
        <w:pStyle w:val="Nivel3"/>
        <w:numPr>
          <w:ilvl w:val="2"/>
          <w:numId w:val="140"/>
        </w:numPr>
        <w:ind w:hanging="0" w:left="284"/>
        <w:rPr>
          <w:rFonts w:ascii="Calibri" w:hAnsi="Calibri"/>
          <w:sz w:val="24"/>
          <w:szCs w:val="24"/>
        </w:rPr>
      </w:pPr>
      <w:r>
        <w:rPr>
          <w:rFonts w:ascii="Calibri" w:hAnsi="Calibri"/>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pPr>
        <w:pStyle w:val="Nvel02"/>
        <w:numPr>
          <w:ilvl w:val="1"/>
          <w:numId w:val="3"/>
        </w:numPr>
        <w:ind w:hanging="0" w:left="0"/>
        <w:rPr>
          <w:rFonts w:ascii="Calibri" w:hAnsi="Calibri"/>
          <w:sz w:val="24"/>
          <w:szCs w:val="24"/>
        </w:rPr>
      </w:pPr>
      <w:r>
        <w:rPr>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vel02"/>
        <w:numPr>
          <w:ilvl w:val="1"/>
          <w:numId w:val="3"/>
        </w:numPr>
        <w:ind w:hanging="0" w:left="0"/>
        <w:rPr>
          <w:rFonts w:ascii="Calibri" w:hAnsi="Calibri"/>
          <w:sz w:val="24"/>
          <w:szCs w:val="24"/>
        </w:rPr>
      </w:pPr>
      <w:r>
        <w:rPr>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vel02"/>
        <w:numPr>
          <w:ilvl w:val="1"/>
          <w:numId w:val="3"/>
        </w:numPr>
        <w:ind w:hanging="0" w:left="0"/>
        <w:rPr>
          <w:rFonts w:ascii="Calibri" w:hAnsi="Calibri"/>
          <w:sz w:val="24"/>
          <w:szCs w:val="24"/>
        </w:rPr>
      </w:pPr>
      <w:r>
        <w:rPr>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vel02"/>
        <w:numPr>
          <w:ilvl w:val="1"/>
          <w:numId w:val="3"/>
        </w:numPr>
        <w:ind w:hanging="0" w:left="0"/>
        <w:rPr>
          <w:rFonts w:ascii="Calibri" w:hAnsi="Calibri"/>
          <w:sz w:val="24"/>
          <w:szCs w:val="24"/>
        </w:rPr>
      </w:pPr>
      <w:r>
        <w:rPr>
          <w:sz w:val="24"/>
          <w:szCs w:val="24"/>
        </w:rPr>
        <w:t>Havendo a efetiva execução do objeto, os pagamentos serão realizados normalmente, até que se decida pela rescisão do contrato, caso o Contratado não regularize sua situação junto ao SICAF.</w:t>
      </w:r>
    </w:p>
    <w:p>
      <w:pPr>
        <w:pStyle w:val="Nvel1-SemNumerao"/>
        <w:ind w:hanging="0" w:left="0"/>
        <w:rPr>
          <w:rFonts w:ascii="Calibri" w:hAnsi="Calibri"/>
          <w:sz w:val="24"/>
          <w:szCs w:val="24"/>
        </w:rPr>
      </w:pPr>
      <w:r>
        <w:rPr>
          <w:rFonts w:ascii="Calibri" w:hAnsi="Calibri"/>
          <w:sz w:val="24"/>
          <w:szCs w:val="24"/>
        </w:rPr>
        <w:t>Prazo de pagamento</w:t>
      </w:r>
    </w:p>
    <w:p>
      <w:pPr>
        <w:pStyle w:val="Nvel02"/>
        <w:numPr>
          <w:ilvl w:val="1"/>
          <w:numId w:val="3"/>
        </w:numPr>
        <w:ind w:hanging="0" w:left="0"/>
        <w:rPr>
          <w:rFonts w:ascii="Calibri" w:hAnsi="Calibri"/>
          <w:sz w:val="24"/>
          <w:szCs w:val="24"/>
        </w:rPr>
      </w:pPr>
      <w:r>
        <w:rPr>
          <w:sz w:val="24"/>
          <w:szCs w:val="24"/>
        </w:rPr>
        <w:t>O pagamento será efetuado no prazo de até 10 (dez) dias úteis contados da finalização da liquidação da despesa, conforme seção anterior, nos termos da Instrução Normativa SEGES/ME nº 77, de 2022.</w:t>
      </w:r>
    </w:p>
    <w:p>
      <w:pPr>
        <w:pStyle w:val="Nvel02"/>
        <w:numPr>
          <w:ilvl w:val="1"/>
          <w:numId w:val="3"/>
        </w:numPr>
        <w:ind w:hanging="0" w:left="0"/>
        <w:rPr>
          <w:rFonts w:ascii="Calibri" w:hAnsi="Calibri"/>
          <w:sz w:val="24"/>
          <w:szCs w:val="24"/>
        </w:rPr>
      </w:pPr>
      <w:commentRangeStart w:id="22"/>
      <w:r>
        <w:rPr>
          <w:sz w:val="24"/>
          <w:szCs w:val="24"/>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commentRangeEnd w:id="22"/>
      <w:r>
        <w:commentReference w:id="22"/>
      </w:r>
      <w:r>
        <w:rPr>
          <w:sz w:val="24"/>
          <w:szCs w:val="24"/>
          <w:lang w:eastAsia="en-US"/>
        </w:rPr>
      </w:r>
    </w:p>
    <w:p>
      <w:pPr>
        <w:pStyle w:val="Nvel1-SemNumerao"/>
        <w:ind w:hanging="0" w:left="0"/>
        <w:rPr>
          <w:rFonts w:ascii="Calibri" w:hAnsi="Calibri"/>
          <w:sz w:val="24"/>
          <w:szCs w:val="24"/>
        </w:rPr>
      </w:pPr>
      <w:r>
        <w:rPr>
          <w:rFonts w:ascii="Calibri" w:hAnsi="Calibri"/>
          <w:sz w:val="24"/>
          <w:szCs w:val="24"/>
        </w:rPr>
        <w:t>Forma de pagamento</w:t>
      </w:r>
    </w:p>
    <w:p>
      <w:pPr>
        <w:pStyle w:val="Nvel02"/>
        <w:numPr>
          <w:ilvl w:val="1"/>
          <w:numId w:val="3"/>
        </w:numPr>
        <w:ind w:hanging="0" w:left="0"/>
        <w:rPr>
          <w:rFonts w:ascii="Calibri" w:hAnsi="Calibri"/>
          <w:sz w:val="24"/>
          <w:szCs w:val="24"/>
        </w:rPr>
      </w:pPr>
      <w:r>
        <w:rPr>
          <w:sz w:val="24"/>
          <w:szCs w:val="24"/>
        </w:rPr>
        <w:t>O pagamento será realizado por meio de ordem bancária, para crédito em banco, agência e conta corrente indicados pelo Contratado.</w:t>
      </w:r>
    </w:p>
    <w:p>
      <w:pPr>
        <w:pStyle w:val="Nvel02"/>
        <w:numPr>
          <w:ilvl w:val="1"/>
          <w:numId w:val="3"/>
        </w:numPr>
        <w:ind w:hanging="0" w:left="0"/>
        <w:rPr>
          <w:rFonts w:ascii="Calibri" w:hAnsi="Calibri"/>
          <w:sz w:val="24"/>
          <w:szCs w:val="24"/>
        </w:rPr>
      </w:pPr>
      <w:r>
        <w:rPr>
          <w:sz w:val="24"/>
          <w:szCs w:val="24"/>
        </w:rPr>
        <w:t>Será considerada data do pagamento o dia em que constar como emitida a ordem bancária para pagamento.</w:t>
      </w:r>
    </w:p>
    <w:p>
      <w:pPr>
        <w:pStyle w:val="Nvel02"/>
        <w:numPr>
          <w:ilvl w:val="1"/>
          <w:numId w:val="3"/>
        </w:numPr>
        <w:ind w:hanging="0" w:left="0"/>
        <w:rPr>
          <w:rFonts w:ascii="Calibri" w:hAnsi="Calibri"/>
          <w:sz w:val="24"/>
          <w:szCs w:val="24"/>
        </w:rPr>
      </w:pPr>
      <w:commentRangeStart w:id="23"/>
      <w:r>
        <w:rPr>
          <w:sz w:val="24"/>
          <w:szCs w:val="24"/>
          <w:lang w:eastAsia="en-US"/>
        </w:rPr>
        <w:t>Quando do pagamento, será efetuada a retenção tributária prevista na legislação aplicável.</w:t>
      </w:r>
    </w:p>
    <w:p>
      <w:pPr>
        <w:pStyle w:val="Nvel02"/>
        <w:numPr>
          <w:ilvl w:val="1"/>
          <w:numId w:val="3"/>
        </w:numPr>
        <w:ind w:hanging="0" w:left="0"/>
        <w:rPr>
          <w:rFonts w:ascii="Calibri" w:hAnsi="Calibri"/>
          <w:sz w:val="24"/>
          <w:szCs w:val="24"/>
        </w:rPr>
      </w:pPr>
      <w:r>
        <w:rPr>
          <w:sz w:val="24"/>
          <w:szCs w:val="24"/>
        </w:rPr>
        <w:t>Independentemente</w:t>
      </w:r>
      <w:r>
        <w:rPr>
          <w:sz w:val="24"/>
          <w:szCs w:val="24"/>
          <w:lang w:eastAsia="en-US"/>
        </w:rPr>
        <w:t xml:space="preserve"> do percentual de tributo inserido na planilha, quando houver, serão retidos na fonte, quando da realização do pagamento, os percentuais estabelecidos na legislação vigente.</w:t>
      </w:r>
      <w:commentRangeEnd w:id="23"/>
      <w:r>
        <w:commentReference w:id="23"/>
      </w:r>
      <w:r>
        <w:rPr>
          <w:sz w:val="24"/>
          <w:szCs w:val="24"/>
          <w:lang w:eastAsia="en-US"/>
        </w:rPr>
      </w:r>
    </w:p>
    <w:p>
      <w:pPr>
        <w:pStyle w:val="Nvel02"/>
        <w:numPr>
          <w:ilvl w:val="1"/>
          <w:numId w:val="3"/>
        </w:numPr>
        <w:ind w:hanging="0" w:left="0"/>
        <w:rPr>
          <w:rFonts w:ascii="Calibri" w:hAnsi="Calibri"/>
          <w:sz w:val="24"/>
          <w:szCs w:val="24"/>
        </w:rPr>
      </w:pPr>
      <w:r>
        <w:rPr>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erao"/>
        <w:ind w:hanging="0" w:left="0"/>
        <w:rPr>
          <w:rFonts w:ascii="Calibri" w:hAnsi="Calibri"/>
          <w:sz w:val="24"/>
          <w:szCs w:val="24"/>
        </w:rPr>
      </w:pPr>
      <w:commentRangeStart w:id="24"/>
      <w:r>
        <w:rPr>
          <w:rFonts w:ascii="Calibri" w:hAnsi="Calibri"/>
          <w:sz w:val="24"/>
          <w:szCs w:val="24"/>
          <w:lang w:eastAsia="en-US"/>
        </w:rPr>
        <w:t>Cessão de Crédito</w:t>
      </w:r>
      <w:commentRangeEnd w:id="24"/>
      <w:r>
        <w:commentReference w:id="24"/>
      </w:r>
      <w:r>
        <w:rPr>
          <w:rFonts w:ascii="Calibri" w:hAnsi="Calibri"/>
          <w:sz w:val="24"/>
          <w:szCs w:val="24"/>
          <w:lang w:eastAsia="en-US"/>
        </w:rPr>
      </w:r>
    </w:p>
    <w:p>
      <w:pPr>
        <w:pStyle w:val="Nvel02"/>
        <w:numPr>
          <w:ilvl w:val="1"/>
          <w:numId w:val="3"/>
        </w:numPr>
        <w:ind w:hanging="0" w:left="0"/>
        <w:rPr>
          <w:rFonts w:ascii="Calibri" w:hAnsi="Calibri"/>
          <w:sz w:val="24"/>
          <w:szCs w:val="24"/>
        </w:rPr>
      </w:pPr>
      <w:commentRangeStart w:id="25"/>
      <w:r>
        <w:rPr>
          <w:sz w:val="24"/>
          <w:szCs w:val="24"/>
          <w:lang w:eastAsia="en-US"/>
        </w:rPr>
        <w:t>As cessões de crédito dependerão de prévia aprovação do Contratante.</w:t>
      </w:r>
      <w:commentRangeEnd w:id="25"/>
      <w:r>
        <w:commentReference w:id="25"/>
      </w:r>
      <w:r>
        <w:rPr>
          <w:sz w:val="24"/>
          <w:szCs w:val="24"/>
          <w:lang w:eastAsia="en-US"/>
        </w:rPr>
      </w:r>
    </w:p>
    <w:p>
      <w:pPr>
        <w:pStyle w:val="Nivel3"/>
        <w:numPr>
          <w:ilvl w:val="2"/>
          <w:numId w:val="141"/>
        </w:numPr>
        <w:ind w:hanging="0" w:left="284"/>
        <w:rPr>
          <w:rFonts w:ascii="Calibri" w:hAnsi="Calibri"/>
          <w:sz w:val="24"/>
          <w:szCs w:val="24"/>
        </w:rPr>
      </w:pPr>
      <w:commentRangeStart w:id="26"/>
      <w:r>
        <w:rPr>
          <w:rFonts w:ascii="Calibri" w:hAnsi="Calibri"/>
          <w:sz w:val="24"/>
          <w:szCs w:val="24"/>
          <w:lang w:eastAsia="en-US"/>
        </w:rPr>
        <w:t>A eficácia da cessão de crédito, em relação à Administração, está condicionada à celebração de termo aditivo ao contrato administrativo.</w:t>
      </w:r>
    </w:p>
    <w:p>
      <w:pPr>
        <w:pStyle w:val="Nivel3"/>
        <w:numPr>
          <w:ilvl w:val="2"/>
          <w:numId w:val="142"/>
        </w:numPr>
        <w:ind w:hanging="0" w:left="284"/>
        <w:rPr>
          <w:rFonts w:ascii="Calibri" w:hAnsi="Calibri"/>
          <w:sz w:val="24"/>
          <w:szCs w:val="24"/>
        </w:rPr>
      </w:pPr>
      <w:r>
        <w:rPr>
          <w:rFonts w:ascii="Calibri" w:hAnsi="Calibri"/>
          <w:sz w:val="24"/>
          <w:szCs w:val="24"/>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3"/>
        <w:numPr>
          <w:ilvl w:val="2"/>
          <w:numId w:val="143"/>
        </w:numPr>
        <w:ind w:hanging="0" w:left="284"/>
        <w:rPr>
          <w:rFonts w:ascii="Calibri" w:hAnsi="Calibri"/>
          <w:sz w:val="24"/>
          <w:szCs w:val="24"/>
        </w:rPr>
      </w:pPr>
      <w:r>
        <w:rPr>
          <w:rFonts w:ascii="Calibri" w:hAnsi="Calibri"/>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ivel3"/>
        <w:numPr>
          <w:ilvl w:val="2"/>
          <w:numId w:val="144"/>
        </w:numPr>
        <w:ind w:hanging="0" w:left="284"/>
        <w:rPr>
          <w:rFonts w:ascii="Calibri" w:hAnsi="Calibri"/>
          <w:sz w:val="24"/>
          <w:szCs w:val="24"/>
        </w:rPr>
      </w:pPr>
      <w:r>
        <w:rPr>
          <w:rFonts w:ascii="Calibri" w:hAnsi="Calibri"/>
          <w:sz w:val="24"/>
          <w:szCs w:val="24"/>
          <w:lang w:eastAsia="en-US"/>
        </w:rPr>
        <w:t>A cessão de crédito não afetará a execução do objeto contratado, que continuará sob a integral responsabilidade do Contratado.</w:t>
      </w:r>
      <w:commentRangeEnd w:id="26"/>
      <w:r>
        <w:commentReference w:id="26"/>
      </w:r>
      <w:r>
        <w:rPr>
          <w:rFonts w:ascii="Calibri" w:hAnsi="Calibri"/>
          <w:sz w:val="24"/>
          <w:szCs w:val="24"/>
          <w:lang w:eastAsia="en-US"/>
        </w:rPr>
      </w:r>
    </w:p>
    <w:p>
      <w:pPr>
        <w:pStyle w:val="Nvel02"/>
        <w:numPr>
          <w:ilvl w:val="1"/>
          <w:numId w:val="3"/>
        </w:numPr>
        <w:ind w:hanging="0" w:left="0"/>
        <w:rPr>
          <w:rFonts w:ascii="Calibri" w:hAnsi="Calibri"/>
          <w:sz w:val="24"/>
          <w:szCs w:val="24"/>
        </w:rPr>
      </w:pPr>
      <w:commentRangeStart w:id="27"/>
      <w:r>
        <w:rPr>
          <w:sz w:val="24"/>
          <w:szCs w:val="24"/>
          <w:lang w:eastAsia="en-US"/>
        </w:rPr>
        <w:t>O disposto nesta seção não afeta as operações de crédito de que trata a Instrução Normativa SEGES/MGI nº 82, de 21 de fevereiro de 2025, as quais ficam por esta regidas.</w:t>
      </w:r>
      <w:commentRangeEnd w:id="27"/>
      <w:r>
        <w:commentReference w:id="27"/>
      </w:r>
      <w:r>
        <w:rPr>
          <w:sz w:val="24"/>
          <w:szCs w:val="24"/>
          <w:lang w:eastAsia="en-US"/>
        </w:rPr>
      </w:r>
    </w:p>
    <w:p>
      <w:pPr>
        <w:pStyle w:val="Nvel1-SemNumerao"/>
        <w:ind w:hanging="0" w:left="0"/>
        <w:rPr>
          <w:rFonts w:ascii="Calibri" w:hAnsi="Calibri"/>
          <w:sz w:val="24"/>
          <w:szCs w:val="24"/>
        </w:rPr>
      </w:pPr>
      <w:r>
        <w:rPr>
          <w:rFonts w:ascii="Calibri" w:hAnsi="Calibri"/>
          <w:sz w:val="24"/>
          <w:szCs w:val="24"/>
        </w:rPr>
        <w:t>Reajuste</w:t>
      </w:r>
    </w:p>
    <w:p>
      <w:pPr>
        <w:pStyle w:val="Nvel02"/>
        <w:numPr>
          <w:ilvl w:val="1"/>
          <w:numId w:val="3"/>
        </w:numPr>
        <w:ind w:hanging="0" w:left="0"/>
        <w:rPr>
          <w:rFonts w:ascii="Calibri" w:hAnsi="Calibri"/>
          <w:sz w:val="24"/>
          <w:szCs w:val="24"/>
        </w:rPr>
      </w:pPr>
      <w:bookmarkStart w:id="14" w:name="_Hlk169693537"/>
      <w:r>
        <w:rPr>
          <w:sz w:val="24"/>
          <w:szCs w:val="24"/>
        </w:rPr>
        <w:t>Os preços inicialmente contratados são fixos e irreajustáveis no prazo de um ano contado da data do orçamento estimado, em 20/09/2025.</w:t>
      </w:r>
      <w:bookmarkEnd w:id="14"/>
    </w:p>
    <w:p>
      <w:pPr>
        <w:pStyle w:val="Nvel02"/>
        <w:numPr>
          <w:ilvl w:val="1"/>
          <w:numId w:val="3"/>
        </w:numPr>
        <w:ind w:hanging="0" w:left="0"/>
        <w:rPr>
          <w:rFonts w:ascii="Calibri" w:hAnsi="Calibri"/>
          <w:sz w:val="24"/>
          <w:szCs w:val="24"/>
        </w:rPr>
      </w:pPr>
      <w:commentRangeStart w:id="28"/>
      <w:r>
        <w:rPr>
          <w:sz w:val="24"/>
          <w:szCs w:val="24"/>
        </w:rPr>
        <w:t>Após o interregno de um ano, e independentemente de pedido do C</w:t>
      </w:r>
      <w:commentRangeStart w:id="29"/>
      <w:r>
        <w:rPr>
          <w:sz w:val="24"/>
          <w:szCs w:val="24"/>
        </w:rPr>
        <w:t>ontratado</w:t>
      </w:r>
      <w:r>
        <w:rPr>
          <w:sz w:val="24"/>
          <w:szCs w:val="24"/>
        </w:rPr>
      </w:r>
      <w:commentRangeEnd w:id="29"/>
      <w:r>
        <w:commentReference w:id="29"/>
      </w:r>
      <w:r>
        <w:rPr>
          <w:sz w:val="24"/>
          <w:szCs w:val="24"/>
        </w:rPr>
        <w:t>, os preços iniciais serão reajustados, mediante a aplicação, pelo Contratante, do índice IPCA</w:t>
      </w:r>
      <w:r>
        <w:rPr>
          <w:i/>
          <w:sz w:val="24"/>
          <w:szCs w:val="24"/>
        </w:rPr>
        <w:t>,</w:t>
      </w:r>
      <w:r>
        <w:rPr>
          <w:sz w:val="24"/>
          <w:szCs w:val="24"/>
        </w:rPr>
        <w:t xml:space="preserve"> exclusivamente para as obrigações iniciadas e concluídas após a ocorrência da anualidade</w:t>
      </w:r>
      <w:r>
        <w:rPr>
          <w:sz w:val="24"/>
          <w:szCs w:val="24"/>
        </w:rPr>
      </w:r>
      <w:commentRangeEnd w:id="28"/>
      <w:r>
        <w:commentReference w:id="28"/>
      </w:r>
      <w:r>
        <w:rPr>
          <w:sz w:val="24"/>
          <w:szCs w:val="24"/>
        </w:rPr>
        <w:t>.</w:t>
      </w:r>
    </w:p>
    <w:p>
      <w:pPr>
        <w:pStyle w:val="Nvel02"/>
        <w:numPr>
          <w:ilvl w:val="1"/>
          <w:numId w:val="3"/>
        </w:numPr>
        <w:ind w:hanging="0" w:left="0"/>
        <w:rPr>
          <w:rFonts w:ascii="Calibri" w:hAnsi="Calibri"/>
          <w:sz w:val="24"/>
          <w:szCs w:val="24"/>
        </w:rPr>
      </w:pPr>
      <w:r>
        <w:rPr>
          <w:sz w:val="24"/>
          <w:szCs w:val="24"/>
        </w:rPr>
        <w:t>Nos reajustes subsequentes ao primeiro, o interregno mínimo de um ano será contado a partir dos efeitos financeiros do último reajuste.</w:t>
      </w:r>
    </w:p>
    <w:p>
      <w:pPr>
        <w:pStyle w:val="Nvel02"/>
        <w:numPr>
          <w:ilvl w:val="1"/>
          <w:numId w:val="3"/>
        </w:numPr>
        <w:ind w:hanging="0" w:left="0"/>
        <w:rPr>
          <w:rFonts w:ascii="Calibri" w:hAnsi="Calibri"/>
          <w:sz w:val="24"/>
          <w:szCs w:val="24"/>
        </w:rPr>
      </w:pPr>
      <w:r>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Nvel02"/>
        <w:numPr>
          <w:ilvl w:val="1"/>
          <w:numId w:val="3"/>
        </w:numPr>
        <w:ind w:hanging="0" w:left="0"/>
        <w:rPr>
          <w:rFonts w:ascii="Calibri" w:hAnsi="Calibri"/>
          <w:sz w:val="24"/>
          <w:szCs w:val="24"/>
        </w:rPr>
      </w:pPr>
      <w:r>
        <w:rPr>
          <w:sz w:val="24"/>
          <w:szCs w:val="24"/>
        </w:rPr>
        <w:t>Nas aferições finais, o(s) índice(s) utilizado(s) para reajuste será(ão), obrigatoriamente, o(s) definitivo(s).</w:t>
      </w:r>
    </w:p>
    <w:p>
      <w:pPr>
        <w:pStyle w:val="Nvel02"/>
        <w:numPr>
          <w:ilvl w:val="1"/>
          <w:numId w:val="3"/>
        </w:numPr>
        <w:ind w:hanging="0" w:left="0"/>
        <w:rPr>
          <w:rFonts w:ascii="Calibri" w:hAnsi="Calibri"/>
          <w:sz w:val="24"/>
          <w:szCs w:val="24"/>
        </w:rPr>
      </w:pPr>
      <w:r>
        <w:rPr>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vel02"/>
        <w:numPr>
          <w:ilvl w:val="1"/>
          <w:numId w:val="3"/>
        </w:numPr>
        <w:ind w:hanging="0" w:left="0"/>
        <w:rPr>
          <w:rFonts w:ascii="Calibri" w:hAnsi="Calibri"/>
          <w:sz w:val="24"/>
          <w:szCs w:val="24"/>
        </w:rPr>
      </w:pPr>
      <w:r>
        <w:rPr>
          <w:sz w:val="24"/>
          <w:szCs w:val="24"/>
        </w:rPr>
        <w:t>Na ausência de previsão legal quanto ao índice substituto, as partes elegerão novo índice oficial, para reajustamento do preço do valor remanescente, por meio de termo aditivo.</w:t>
      </w:r>
    </w:p>
    <w:p>
      <w:pPr>
        <w:pStyle w:val="Nvel02"/>
        <w:numPr>
          <w:ilvl w:val="1"/>
          <w:numId w:val="3"/>
        </w:numPr>
        <w:ind w:hanging="0" w:left="0"/>
        <w:rPr>
          <w:rFonts w:ascii="Calibri" w:hAnsi="Calibri"/>
          <w:sz w:val="24"/>
          <w:szCs w:val="24"/>
        </w:rPr>
      </w:pPr>
      <w:r>
        <w:rPr>
          <w:sz w:val="24"/>
          <w:szCs w:val="24"/>
        </w:rPr>
        <w:t>O reajuste será realizado por apostilamento.</w:t>
      </w:r>
    </w:p>
    <w:p>
      <w:pPr>
        <w:pStyle w:val="Nivel01"/>
        <w:numPr>
          <w:ilvl w:val="0"/>
          <w:numId w:val="3"/>
        </w:numPr>
        <w:ind w:hanging="357" w:left="357"/>
        <w:rPr>
          <w:rFonts w:ascii="Calibri" w:hAnsi="Calibri"/>
          <w:sz w:val="24"/>
          <w:szCs w:val="24"/>
        </w:rPr>
      </w:pPr>
      <w:r>
        <w:rPr>
          <w:rFonts w:ascii="Calibri" w:hAnsi="Calibri"/>
          <w:sz w:val="24"/>
          <w:szCs w:val="24"/>
        </w:rPr>
        <w:t>FORMA E CRITÉRIOS DE SELEÇÃO DO FORNECEDOR E FORMA DE FORNECIMENTO</w:t>
      </w:r>
    </w:p>
    <w:p>
      <w:pPr>
        <w:pStyle w:val="Nvel1-SemNumerao"/>
        <w:ind w:hanging="0" w:left="0"/>
        <w:rPr>
          <w:rFonts w:ascii="Calibri" w:hAnsi="Calibri"/>
          <w:sz w:val="24"/>
          <w:szCs w:val="24"/>
        </w:rPr>
      </w:pPr>
      <w:bookmarkStart w:id="15" w:name="_Hlk171371350"/>
      <w:r>
        <w:rPr>
          <w:rFonts w:ascii="Calibri" w:hAnsi="Calibri"/>
          <w:sz w:val="24"/>
          <w:szCs w:val="24"/>
        </w:rPr>
        <w:t xml:space="preserve">Forma de seleção e critério de julgamento da </w:t>
      </w:r>
      <w:commentRangeStart w:id="30"/>
      <w:r>
        <w:rPr>
          <w:rFonts w:ascii="Calibri" w:hAnsi="Calibri"/>
          <w:sz w:val="24"/>
          <w:szCs w:val="24"/>
        </w:rPr>
        <w:t>proposta</w:t>
      </w:r>
      <w:commentRangeEnd w:id="30"/>
      <w:r>
        <w:commentReference w:id="30"/>
      </w:r>
      <w:r>
        <w:rPr>
          <w:rFonts w:ascii="Calibri" w:hAnsi="Calibri"/>
          <w:sz w:val="24"/>
          <w:szCs w:val="24"/>
        </w:rPr>
      </w:r>
    </w:p>
    <w:p>
      <w:pPr>
        <w:pStyle w:val="Nvel02"/>
        <w:numPr>
          <w:ilvl w:val="1"/>
          <w:numId w:val="3"/>
        </w:numPr>
        <w:ind w:hanging="0" w:left="0"/>
        <w:rPr>
          <w:rFonts w:ascii="Calibri" w:hAnsi="Calibri"/>
          <w:sz w:val="24"/>
          <w:szCs w:val="24"/>
        </w:rPr>
      </w:pPr>
      <w:bookmarkStart w:id="16" w:name="_Hlk171371336"/>
      <w:r>
        <w:rPr>
          <w:sz w:val="24"/>
          <w:szCs w:val="24"/>
        </w:rPr>
        <w:t>O fornecedor será selecionado por meio da realização de procedimento de LICITAÇÃO, na modalidade Pregão, sob a forma ELETRÔNICA, com adoção do critério de julgamento pelo Menor Preço</w:t>
      </w:r>
      <w:r>
        <w:rPr>
          <w:color w:val="FF0000"/>
          <w:sz w:val="24"/>
          <w:szCs w:val="24"/>
        </w:rPr>
        <w:t>.</w:t>
      </w:r>
      <w:bookmarkEnd w:id="15"/>
      <w:bookmarkEnd w:id="16"/>
    </w:p>
    <w:p>
      <w:pPr>
        <w:pStyle w:val="Nvel1-SemNumerao"/>
        <w:ind w:hanging="0" w:left="0"/>
        <w:rPr>
          <w:rFonts w:ascii="Calibri" w:hAnsi="Calibri"/>
          <w:sz w:val="24"/>
          <w:szCs w:val="24"/>
        </w:rPr>
      </w:pPr>
      <w:r>
        <w:rPr>
          <w:rFonts w:ascii="Calibri" w:hAnsi="Calibri"/>
          <w:sz w:val="24"/>
          <w:szCs w:val="24"/>
        </w:rPr>
        <w:t>Forma de fornecimento</w:t>
      </w:r>
    </w:p>
    <w:p>
      <w:pPr>
        <w:pStyle w:val="Nvel02"/>
        <w:numPr>
          <w:ilvl w:val="1"/>
          <w:numId w:val="3"/>
        </w:numPr>
        <w:ind w:hanging="0" w:left="0"/>
        <w:rPr/>
      </w:pPr>
      <w:r>
        <w:rPr>
          <w:rStyle w:val="Normaltextrun"/>
          <w:sz w:val="24"/>
          <w:szCs w:val="24"/>
          <w:shd w:fill="FFFFFF" w:val="clear"/>
        </w:rPr>
        <w:t xml:space="preserve">O </w:t>
      </w:r>
      <w:r>
        <w:rPr>
          <w:rStyle w:val="Findhit"/>
          <w:sz w:val="24"/>
          <w:szCs w:val="24"/>
          <w:shd w:fill="FFFFFF" w:val="clear"/>
        </w:rPr>
        <w:t>fornecimento do objeto será p</w:t>
      </w:r>
      <w:r>
        <w:rPr>
          <w:rStyle w:val="Findhit"/>
          <w:sz w:val="24"/>
          <w:szCs w:val="24"/>
          <w:shd w:fill="auto" w:val="clear"/>
        </w:rPr>
        <w:t>arcelado</w:t>
      </w:r>
      <w:r>
        <w:rPr>
          <w:sz w:val="24"/>
          <w:szCs w:val="24"/>
          <w:shd w:fill="auto" w:val="clear"/>
        </w:rPr>
        <w:t>.</w:t>
      </w:r>
    </w:p>
    <w:p>
      <w:pPr>
        <w:pStyle w:val="Nvel1-SemNumerao"/>
        <w:ind w:hanging="0" w:left="0"/>
        <w:rPr>
          <w:rFonts w:ascii="Calibri" w:hAnsi="Calibri"/>
          <w:sz w:val="24"/>
          <w:szCs w:val="24"/>
        </w:rPr>
      </w:pPr>
      <w:r>
        <w:rPr>
          <w:rFonts w:ascii="Calibri" w:hAnsi="Calibri"/>
          <w:sz w:val="24"/>
          <w:szCs w:val="24"/>
        </w:rPr>
        <w:t>Critérios de aceitabilidade de preços</w:t>
      </w:r>
    </w:p>
    <w:p>
      <w:pPr>
        <w:pStyle w:val="Nvel2-Opcional"/>
        <w:numPr>
          <w:ilvl w:val="1"/>
          <w:numId w:val="3"/>
        </w:numPr>
        <w:rPr>
          <w:rFonts w:ascii="Calibri" w:hAnsi="Calibri"/>
          <w:sz w:val="24"/>
          <w:szCs w:val="24"/>
        </w:rPr>
      </w:pPr>
      <w:r>
        <w:rPr>
          <w:i w:val="false"/>
          <w:iCs w:val="false"/>
          <w:color w:val="auto"/>
          <w:sz w:val="24"/>
          <w:szCs w:val="24"/>
        </w:rPr>
        <w:t xml:space="preserve">Em se tratando de contratação para registro de preços, caso adotado o critério de julgamento de menor preço ou de maior desconto por grupo de itens, o critério de aceitabilidade de preços unitários máximos </w:t>
      </w:r>
      <w:commentRangeStart w:id="31"/>
      <w:r>
        <w:rPr>
          <w:i w:val="false"/>
          <w:iCs w:val="false"/>
          <w:color w:val="auto"/>
          <w:sz w:val="24"/>
          <w:szCs w:val="24"/>
        </w:rPr>
        <w:t>será</w:t>
      </w:r>
      <w:r>
        <w:rPr>
          <w:i w:val="false"/>
          <w:iCs w:val="false"/>
          <w:color w:val="auto"/>
          <w:sz w:val="24"/>
          <w:szCs w:val="24"/>
        </w:rPr>
      </w:r>
      <w:commentRangeEnd w:id="31"/>
      <w:r>
        <w:commentReference w:id="31"/>
      </w:r>
      <w:r>
        <w:rPr>
          <w:i w:val="false"/>
          <w:iCs w:val="false"/>
          <w:color w:val="auto"/>
          <w:sz w:val="24"/>
          <w:szCs w:val="24"/>
        </w:rPr>
        <w:t xml:space="preserve">: </w:t>
      </w:r>
    </w:p>
    <w:p>
      <w:pPr>
        <w:pStyle w:val="Nvel3-Opcional"/>
        <w:numPr>
          <w:ilvl w:val="2"/>
          <w:numId w:val="3"/>
        </w:numPr>
        <w:ind w:hanging="0" w:left="284"/>
        <w:rPr>
          <w:rFonts w:ascii="Calibri" w:hAnsi="Calibri"/>
          <w:sz w:val="24"/>
          <w:szCs w:val="24"/>
        </w:rPr>
      </w:pPr>
      <w:bookmarkStart w:id="17" w:name="_Hlk190336520"/>
      <w:r>
        <w:rPr>
          <w:rFonts w:ascii="Calibri" w:hAnsi="Calibri"/>
          <w:i w:val="false"/>
          <w:color w:val="auto"/>
          <w:sz w:val="24"/>
          <w:szCs w:val="24"/>
        </w:rPr>
        <w:t>Valores unitários: conforme tabela constante no I deste Termo de Referência.</w:t>
      </w:r>
      <w:bookmarkEnd w:id="17"/>
    </w:p>
    <w:p>
      <w:pPr>
        <w:pStyle w:val="Nvel1-SemNumerao"/>
        <w:ind w:hanging="0" w:left="0"/>
        <w:rPr>
          <w:rFonts w:ascii="Calibri" w:hAnsi="Calibri"/>
          <w:sz w:val="24"/>
          <w:szCs w:val="24"/>
        </w:rPr>
      </w:pPr>
      <w:commentRangeStart w:id="32"/>
      <w:r>
        <w:rPr>
          <w:rFonts w:ascii="Calibri" w:hAnsi="Calibri"/>
          <w:sz w:val="24"/>
          <w:szCs w:val="24"/>
        </w:rPr>
        <w:t>Exigências de habilitação</w:t>
      </w:r>
      <w:commentRangeEnd w:id="32"/>
      <w:r>
        <w:commentReference w:id="32"/>
      </w:r>
      <w:r>
        <w:rPr>
          <w:rFonts w:ascii="Calibri" w:hAnsi="Calibri"/>
          <w:sz w:val="24"/>
          <w:szCs w:val="24"/>
        </w:rPr>
      </w:r>
    </w:p>
    <w:p>
      <w:pPr>
        <w:pStyle w:val="Nvel02"/>
        <w:numPr>
          <w:ilvl w:val="1"/>
          <w:numId w:val="3"/>
        </w:numPr>
        <w:ind w:hanging="0" w:left="0"/>
        <w:rPr>
          <w:rFonts w:ascii="Calibri" w:hAnsi="Calibri"/>
          <w:sz w:val="24"/>
          <w:szCs w:val="24"/>
        </w:rPr>
      </w:pPr>
      <w:r>
        <w:rPr>
          <w:sz w:val="24"/>
          <w:szCs w:val="24"/>
        </w:rPr>
        <w:t>Para fins de habilitação, deverá o interessado comprovar os seguintes requisitos:</w:t>
      </w:r>
    </w:p>
    <w:p>
      <w:pPr>
        <w:pStyle w:val="Nvel1-SemNumerao"/>
        <w:ind w:hanging="0" w:left="0"/>
        <w:rPr>
          <w:rFonts w:ascii="Calibri" w:hAnsi="Calibri"/>
          <w:sz w:val="24"/>
          <w:szCs w:val="24"/>
        </w:rPr>
      </w:pPr>
      <w:r>
        <w:rPr>
          <w:rFonts w:ascii="Calibri" w:hAnsi="Calibri"/>
          <w:sz w:val="24"/>
          <w:szCs w:val="24"/>
        </w:rPr>
        <w:t>Habilitação jurídica</w:t>
      </w:r>
    </w:p>
    <w:p>
      <w:pPr>
        <w:pStyle w:val="Nvel02"/>
        <w:numPr>
          <w:ilvl w:val="1"/>
          <w:numId w:val="3"/>
        </w:numPr>
        <w:ind w:hanging="0" w:left="0"/>
        <w:rPr>
          <w:rFonts w:ascii="Calibri" w:hAnsi="Calibri"/>
          <w:sz w:val="24"/>
          <w:szCs w:val="24"/>
        </w:rPr>
      </w:pPr>
      <w:bookmarkStart w:id="18" w:name="_Ref115800561"/>
      <w:r>
        <w:rPr>
          <w:sz w:val="24"/>
          <w:szCs w:val="24"/>
        </w:rPr>
        <w:t>p</w:t>
      </w:r>
      <w:commentRangeStart w:id="33"/>
      <w:commentRangeStart w:id="34"/>
      <w:r>
        <w:rPr>
          <w:sz w:val="24"/>
          <w:szCs w:val="24"/>
        </w:rPr>
        <w:t>essoa física: cédula de identidade (RG) ou documento equivalente que, por força de lei, tenha validade para fins de identificação em todo o território nacional;</w:t>
      </w:r>
      <w:bookmarkEnd w:id="18"/>
      <w:r>
        <w:rPr>
          <w:sz w:val="24"/>
          <w:szCs w:val="24"/>
        </w:rPr>
      </w:r>
      <w:commentRangeEnd w:id="34"/>
      <w:r>
        <w:commentReference w:id="34"/>
      </w:r>
      <w:commentRangeEnd w:id="33"/>
      <w:r>
        <w:commentReference w:id="33"/>
      </w:r>
      <w:r>
        <w:rPr>
          <w:sz w:val="24"/>
          <w:szCs w:val="24"/>
        </w:rPr>
      </w:r>
    </w:p>
    <w:p>
      <w:pPr>
        <w:pStyle w:val="Nvel02"/>
        <w:numPr>
          <w:ilvl w:val="1"/>
          <w:numId w:val="3"/>
        </w:numPr>
        <w:ind w:hanging="0" w:left="0"/>
        <w:rPr>
          <w:rFonts w:ascii="Calibri" w:hAnsi="Calibri"/>
          <w:sz w:val="24"/>
          <w:szCs w:val="24"/>
        </w:rPr>
      </w:pPr>
      <w:r>
        <w:rPr>
          <w:sz w:val="24"/>
          <w:szCs w:val="24"/>
        </w:rPr>
        <w:t>empresário individual: inscrição no Registro Público de Empresas Mercantis, a cargo da Junta Comercial da respectiva sede;</w:t>
      </w:r>
    </w:p>
    <w:p>
      <w:pPr>
        <w:pStyle w:val="Nvel02"/>
        <w:numPr>
          <w:ilvl w:val="1"/>
          <w:numId w:val="3"/>
        </w:numPr>
        <w:ind w:hanging="0" w:left="0"/>
        <w:rPr>
          <w:rFonts w:ascii="Calibri" w:hAnsi="Calibri"/>
          <w:sz w:val="24"/>
          <w:szCs w:val="24"/>
        </w:rPr>
      </w:pPr>
      <w:r>
        <w:rPr>
          <w:sz w:val="24"/>
          <w:szCs w:val="24"/>
        </w:rPr>
        <w:t>Microempreendedor Individual - MEI: Certificado da Condição de Microempreendedor Individual - CCMEI, cuja aceitação ficará condicionada à verificação da autenticidade no sítio https://www.gov.br/empresas-e-negocios/pt-br/empreendedor;</w:t>
      </w:r>
    </w:p>
    <w:p>
      <w:pPr>
        <w:pStyle w:val="Nvel02"/>
        <w:numPr>
          <w:ilvl w:val="1"/>
          <w:numId w:val="3"/>
        </w:numPr>
        <w:ind w:hanging="0" w:left="0"/>
        <w:rPr>
          <w:rFonts w:ascii="Calibri" w:hAnsi="Calibri"/>
          <w:sz w:val="24"/>
          <w:szCs w:val="24"/>
        </w:rPr>
      </w:pPr>
      <w:r>
        <w:rPr>
          <w:sz w:val="24"/>
          <w:szCs w:val="24"/>
        </w:rPr>
        <w:t>s</w:t>
      </w:r>
      <w:commentRangeStart w:id="35"/>
      <w:r>
        <w:rPr>
          <w:sz w:val="24"/>
          <w:szCs w:val="24"/>
        </w:rPr>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35"/>
      <w:r>
        <w:commentReference w:id="35"/>
      </w:r>
      <w:r>
        <w:rPr>
          <w:sz w:val="24"/>
          <w:szCs w:val="24"/>
        </w:rPr>
      </w:r>
    </w:p>
    <w:p>
      <w:pPr>
        <w:pStyle w:val="Nvel02"/>
        <w:numPr>
          <w:ilvl w:val="1"/>
          <w:numId w:val="3"/>
        </w:numPr>
        <w:ind w:hanging="0" w:left="0"/>
        <w:rPr>
          <w:rFonts w:ascii="Calibri" w:hAnsi="Calibri"/>
          <w:sz w:val="24"/>
          <w:szCs w:val="24"/>
        </w:rPr>
      </w:pPr>
      <w:r>
        <w:rPr>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vel02"/>
        <w:numPr>
          <w:ilvl w:val="1"/>
          <w:numId w:val="3"/>
        </w:numPr>
        <w:ind w:hanging="0" w:left="0"/>
        <w:rPr>
          <w:rFonts w:ascii="Calibri" w:hAnsi="Calibri"/>
          <w:sz w:val="24"/>
          <w:szCs w:val="24"/>
        </w:rPr>
      </w:pPr>
      <w:r>
        <w:rPr>
          <w:sz w:val="24"/>
          <w:szCs w:val="24"/>
        </w:rPr>
        <w:t>sociedade simples: inscrição do ato constitutivo no Registro Civil de Pessoas Jurídicas do local de sua sede, acompanhada de documento comprobatório de seus administradores;</w:t>
      </w:r>
    </w:p>
    <w:p>
      <w:pPr>
        <w:pStyle w:val="Nvel02"/>
        <w:numPr>
          <w:ilvl w:val="1"/>
          <w:numId w:val="3"/>
        </w:numPr>
        <w:ind w:hanging="0" w:left="0"/>
        <w:rPr>
          <w:rFonts w:ascii="Calibri" w:hAnsi="Calibri"/>
          <w:sz w:val="24"/>
          <w:szCs w:val="24"/>
        </w:rPr>
      </w:pPr>
      <w:r>
        <w:rPr>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9" w:name="_Int_ySfCXwr4"/>
      <w:r>
        <w:rPr>
          <w:sz w:val="24"/>
          <w:szCs w:val="24"/>
        </w:rPr>
        <w:t>Mercantis onde</w:t>
      </w:r>
      <w:bookmarkEnd w:id="19"/>
      <w:r>
        <w:rPr>
          <w:sz w:val="24"/>
          <w:szCs w:val="24"/>
        </w:rPr>
        <w:t xml:space="preserve"> opera, com averbação no Registro onde tem sede a matriz;</w:t>
      </w:r>
    </w:p>
    <w:p>
      <w:pPr>
        <w:pStyle w:val="Nvel02"/>
        <w:numPr>
          <w:ilvl w:val="1"/>
          <w:numId w:val="3"/>
        </w:numPr>
        <w:ind w:hanging="0" w:left="0"/>
        <w:rPr>
          <w:rFonts w:ascii="Calibri" w:hAnsi="Calibri"/>
          <w:sz w:val="24"/>
          <w:szCs w:val="24"/>
        </w:rPr>
      </w:pPr>
      <w:r>
        <w:rPr>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02"/>
        <w:numPr>
          <w:ilvl w:val="1"/>
          <w:numId w:val="3"/>
        </w:numPr>
        <w:ind w:hanging="0" w:left="0"/>
        <w:rPr>
          <w:rFonts w:ascii="Calibri" w:hAnsi="Calibri"/>
          <w:sz w:val="24"/>
          <w:szCs w:val="24"/>
        </w:rPr>
      </w:pPr>
      <w:r>
        <w:rPr>
          <w:sz w:val="24"/>
          <w:szCs w:val="24"/>
        </w:rPr>
        <w:t>Os documentos apresentados deverão estar acompanhados de todas as alterações ou da consolidação respectiva.</w:t>
      </w:r>
    </w:p>
    <w:p>
      <w:pPr>
        <w:pStyle w:val="Nvel1-SemNumerao"/>
        <w:ind w:hanging="0" w:left="0"/>
        <w:rPr>
          <w:rFonts w:ascii="Calibri" w:hAnsi="Calibri"/>
          <w:sz w:val="24"/>
          <w:szCs w:val="24"/>
        </w:rPr>
      </w:pPr>
      <w:r>
        <w:rPr>
          <w:rFonts w:ascii="Calibri" w:hAnsi="Calibri"/>
          <w:sz w:val="24"/>
          <w:szCs w:val="24"/>
        </w:rPr>
        <w:t>Habilitação fiscal, social e trabalhista</w:t>
      </w:r>
    </w:p>
    <w:p>
      <w:pPr>
        <w:pStyle w:val="Nvel02"/>
        <w:numPr>
          <w:ilvl w:val="1"/>
          <w:numId w:val="3"/>
        </w:numPr>
        <w:ind w:hanging="0" w:left="0"/>
        <w:rPr>
          <w:rFonts w:ascii="Calibri" w:hAnsi="Calibri"/>
          <w:sz w:val="24"/>
          <w:szCs w:val="24"/>
        </w:rPr>
      </w:pPr>
      <w:commentRangeStart w:id="36"/>
      <w:r>
        <w:rPr>
          <w:sz w:val="24"/>
          <w:szCs w:val="24"/>
        </w:rPr>
        <w:t>Prova de inscrição no Cadastro Nacional de Pessoas Jurídicas ou no Cadastro de Pessoas Físicas, conforme o caso;</w:t>
      </w:r>
    </w:p>
    <w:p>
      <w:pPr>
        <w:pStyle w:val="Nvel02"/>
        <w:numPr>
          <w:ilvl w:val="1"/>
          <w:numId w:val="3"/>
        </w:numPr>
        <w:ind w:hanging="0" w:left="0"/>
        <w:rPr>
          <w:rFonts w:ascii="Calibri" w:hAnsi="Calibri"/>
          <w:sz w:val="24"/>
          <w:szCs w:val="24"/>
        </w:rPr>
      </w:pPr>
      <w:r>
        <w:rPr>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vel02"/>
        <w:numPr>
          <w:ilvl w:val="1"/>
          <w:numId w:val="3"/>
        </w:numPr>
        <w:ind w:hanging="0" w:left="0"/>
        <w:rPr>
          <w:rFonts w:ascii="Calibri" w:hAnsi="Calibri"/>
          <w:sz w:val="24"/>
          <w:szCs w:val="24"/>
        </w:rPr>
      </w:pPr>
      <w:r>
        <w:rPr>
          <w:sz w:val="24"/>
          <w:szCs w:val="24"/>
        </w:rPr>
        <w:t>Prova de regularidade com o Fundo de Garantia do Tempo de Serviço (FGTS);</w:t>
      </w:r>
    </w:p>
    <w:p>
      <w:pPr>
        <w:pStyle w:val="Nvel02"/>
        <w:numPr>
          <w:ilvl w:val="1"/>
          <w:numId w:val="3"/>
        </w:numPr>
        <w:ind w:hanging="0" w:left="0"/>
        <w:rPr>
          <w:rFonts w:ascii="Calibri" w:hAnsi="Calibri"/>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vel02"/>
        <w:numPr>
          <w:ilvl w:val="1"/>
          <w:numId w:val="3"/>
        </w:numPr>
        <w:ind w:hanging="0" w:left="0"/>
        <w:rPr>
          <w:rFonts w:ascii="Calibri" w:hAnsi="Calibri"/>
          <w:sz w:val="24"/>
          <w:szCs w:val="24"/>
        </w:rPr>
      </w:pPr>
      <w:r>
        <w:rPr>
          <w:sz w:val="24"/>
          <w:szCs w:val="24"/>
        </w:rPr>
        <w:t>Prova de inscrição no cadastro de contribuintes Estadual ou Distrital relativo ao domicílio ou sede do fornecedor, pertinente ao seu ramo de atividade e compatível com o objeto contratual;</w:t>
      </w:r>
    </w:p>
    <w:p>
      <w:pPr>
        <w:pStyle w:val="Nvel02"/>
        <w:numPr>
          <w:ilvl w:val="1"/>
          <w:numId w:val="3"/>
        </w:numPr>
        <w:ind w:hanging="0" w:left="0"/>
        <w:rPr>
          <w:rFonts w:ascii="Calibri" w:hAnsi="Calibri"/>
          <w:sz w:val="24"/>
          <w:szCs w:val="24"/>
        </w:rPr>
      </w:pPr>
      <w:r>
        <w:rPr>
          <w:sz w:val="24"/>
          <w:szCs w:val="24"/>
        </w:rPr>
        <w:t>Prova de regularidade com a Fazenda Estadual ou Distrital do domicílio ou sede do fornecedor, relativa à atividade em cujo exercício contrata ou concorre;</w:t>
      </w:r>
      <w:commentRangeEnd w:id="36"/>
      <w:r>
        <w:commentReference w:id="36"/>
      </w:r>
      <w:r>
        <w:rPr>
          <w:sz w:val="24"/>
          <w:szCs w:val="24"/>
        </w:rPr>
      </w:r>
    </w:p>
    <w:p>
      <w:pPr>
        <w:pStyle w:val="Nvel02"/>
        <w:numPr>
          <w:ilvl w:val="1"/>
          <w:numId w:val="3"/>
        </w:numPr>
        <w:ind w:hanging="0" w:left="0"/>
        <w:rPr>
          <w:rFonts w:ascii="Calibri" w:hAnsi="Calibri"/>
          <w:sz w:val="24"/>
          <w:szCs w:val="24"/>
        </w:rPr>
      </w:pPr>
      <w:r>
        <w:rPr>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pPr>
        <w:pStyle w:val="Nvel02"/>
        <w:numPr>
          <w:ilvl w:val="1"/>
          <w:numId w:val="3"/>
        </w:numPr>
        <w:ind w:hanging="0" w:left="0"/>
        <w:rPr>
          <w:rFonts w:ascii="Calibri" w:hAnsi="Calibri"/>
          <w:sz w:val="24"/>
          <w:szCs w:val="24"/>
        </w:rPr>
      </w:pPr>
      <w:bookmarkStart w:id="20" w:name="_Hlk121934117"/>
      <w:commentRangeStart w:id="37"/>
      <w:r>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0"/>
      <w:commentRangeEnd w:id="37"/>
      <w:r>
        <w:commentReference w:id="37"/>
      </w:r>
      <w:r>
        <w:rPr>
          <w:sz w:val="24"/>
          <w:szCs w:val="24"/>
        </w:rPr>
      </w:r>
    </w:p>
    <w:p>
      <w:pPr>
        <w:pStyle w:val="Nvel1-SemNumerao"/>
        <w:ind w:hanging="0" w:left="0"/>
        <w:rPr>
          <w:rFonts w:ascii="Calibri" w:hAnsi="Calibri"/>
          <w:sz w:val="24"/>
          <w:szCs w:val="24"/>
        </w:rPr>
      </w:pPr>
      <w:commentRangeStart w:id="38"/>
      <w:r>
        <w:rPr>
          <w:rFonts w:ascii="Calibri" w:hAnsi="Calibri"/>
          <w:sz w:val="24"/>
          <w:szCs w:val="24"/>
        </w:rPr>
        <w:t>Qualificação Econômico-Financeira</w:t>
      </w:r>
      <w:commentRangeEnd w:id="38"/>
      <w:r>
        <w:commentReference w:id="38"/>
      </w:r>
      <w:r>
        <w:rPr>
          <w:rFonts w:ascii="Calibri" w:hAnsi="Calibri"/>
          <w:sz w:val="24"/>
          <w:szCs w:val="24"/>
        </w:rPr>
      </w:r>
    </w:p>
    <w:p>
      <w:pPr>
        <w:pStyle w:val="Nvel02"/>
        <w:numPr>
          <w:ilvl w:val="1"/>
          <w:numId w:val="3"/>
        </w:numPr>
        <w:ind w:hanging="0" w:left="0"/>
        <w:rPr>
          <w:rFonts w:ascii="Calibri" w:hAnsi="Calibri"/>
          <w:sz w:val="24"/>
          <w:szCs w:val="24"/>
        </w:rPr>
      </w:pPr>
      <w:r>
        <w:rPr>
          <w:sz w:val="24"/>
          <w:szCs w:val="24"/>
        </w:rPr>
        <w:t>certidão negativa de insolvência civil expedida pelo distribuidor do domicílio ou sede do interessado, caso se trate de pessoa física, desde que admitida a sua participação na licitação/contratação, ou de sociedade simples;</w:t>
      </w:r>
    </w:p>
    <w:p>
      <w:pPr>
        <w:pStyle w:val="Nvel02"/>
        <w:numPr>
          <w:ilvl w:val="1"/>
          <w:numId w:val="3"/>
        </w:numPr>
        <w:ind w:hanging="0" w:left="0"/>
        <w:rPr>
          <w:rFonts w:ascii="Calibri" w:hAnsi="Calibri"/>
          <w:sz w:val="24"/>
          <w:szCs w:val="24"/>
        </w:rPr>
      </w:pPr>
      <w:r>
        <w:rPr>
          <w:sz w:val="24"/>
          <w:szCs w:val="24"/>
        </w:rPr>
        <w:t>certidão negativa de falência expedida pelo distribuidor da sede do fornecedor;</w:t>
      </w:r>
    </w:p>
    <w:p>
      <w:pPr>
        <w:pStyle w:val="Nvel02"/>
        <w:numPr>
          <w:ilvl w:val="1"/>
          <w:numId w:val="3"/>
        </w:numPr>
        <w:ind w:hanging="0" w:left="0"/>
        <w:rPr>
          <w:rFonts w:ascii="Calibri" w:hAnsi="Calibri"/>
          <w:sz w:val="24"/>
          <w:szCs w:val="24"/>
        </w:rPr>
      </w:pPr>
      <w:r>
        <w:rPr>
          <w:sz w:val="24"/>
          <w:szCs w:val="24"/>
        </w:rPr>
        <w:t xml:space="preserve">balanço patrimonial, demonstração de resultado de exercício e demais demonstrações contábeis do último exercício social, já exigíveis e apresentados na forma da lei, comprovando, índices de Liquidez Geral (LG), Liquidez Corrente (LC), e Solvência Geral (SG) superiores a 1 (um), obtidos por meio da aplicação das seguintes </w:t>
      </w:r>
      <w:commentRangeStart w:id="39"/>
      <w:r>
        <w:rPr>
          <w:sz w:val="24"/>
          <w:szCs w:val="24"/>
        </w:rPr>
        <w:t>fórmulas</w:t>
      </w:r>
      <w:r>
        <w:rPr>
          <w:sz w:val="24"/>
          <w:szCs w:val="24"/>
        </w:rPr>
      </w:r>
      <w:commentRangeEnd w:id="39"/>
      <w:r>
        <w:commentReference w:id="39"/>
      </w:r>
      <w:r>
        <w:rPr>
          <w:sz w:val="24"/>
          <w:szCs w:val="24"/>
        </w:rPr>
        <w:t xml:space="preserve">: </w:t>
      </w:r>
    </w:p>
    <w:tbl>
      <w:tblPr>
        <w:tblStyle w:val="Tabelacomgrade"/>
        <w:tblW w:w="6487"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4"/>
        <w:gridCol w:w="4252"/>
      </w:tblGrid>
      <w:tr>
        <w:trPr/>
        <w:tc>
          <w:tcPr>
            <w:tcW w:w="2234"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LG =</w:t>
            </w:r>
          </w:p>
        </w:tc>
        <w:tc>
          <w:tcPr>
            <w:tcW w:w="4252" w:type="dxa"/>
            <w:tcBorders>
              <w:top w:val="nil"/>
              <w:left w:val="nil"/>
              <w:right w:val="nil"/>
            </w:tcBorders>
            <w:vAlign w:val="bottom"/>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Ativo Circulante + Realizável a Longo Prazo</w:t>
            </w:r>
          </w:p>
        </w:tc>
      </w:tr>
      <w:tr>
        <w:trPr/>
        <w:tc>
          <w:tcPr>
            <w:tcW w:w="2234" w:type="dxa"/>
            <w:vMerge w:val="continue"/>
            <w:tcBorders>
              <w:top w:val="nil"/>
              <w:left w:val="nil"/>
              <w:bottom w:val="nil"/>
              <w:right w:val="nil"/>
            </w:tcBorders>
          </w:tcPr>
          <w:p>
            <w:pPr>
              <w:pStyle w:val="Nvel02"/>
              <w:widowControl w:val="false"/>
              <w:numPr>
                <w:ilvl w:val="0"/>
                <w:numId w:val="0"/>
              </w:numPr>
              <w:suppressAutoHyphens w:val="true"/>
              <w:spacing w:before="120" w:after="120"/>
              <w:ind w:hanging="0" w:left="0"/>
              <w:rPr>
                <w:rFonts w:ascii="Calibri" w:hAnsi="Calibri"/>
                <w:kern w:val="0"/>
                <w:sz w:val="24"/>
                <w:szCs w:val="24"/>
                <w:highlight w:val="yellow"/>
                <w:lang w:val="pt-BR" w:bidi="ar-SA"/>
              </w:rPr>
            </w:pPr>
            <w:r>
              <w:rPr>
                <w:kern w:val="0"/>
                <w:sz w:val="24"/>
                <w:szCs w:val="24"/>
                <w:highlight w:val="yellow"/>
                <w:lang w:val="pt-BR" w:bidi="ar-SA"/>
              </w:rPr>
            </w:r>
          </w:p>
        </w:tc>
        <w:tc>
          <w:tcPr>
            <w:tcW w:w="4252" w:type="dxa"/>
            <w:tcBorders>
              <w:left w:val="nil"/>
              <w:bottom w:val="nil"/>
              <w:right w:val="nil"/>
            </w:tcBorders>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Passivo Circulante + Passivo Não Circulante</w:t>
            </w:r>
          </w:p>
        </w:tc>
      </w:tr>
    </w:tbl>
    <w:p>
      <w:pPr>
        <w:pStyle w:val="Nvel02"/>
        <w:numPr>
          <w:ilvl w:val="0"/>
          <w:numId w:val="0"/>
        </w:numPr>
        <w:ind w:hanging="0" w:left="0"/>
        <w:rPr>
          <w:rFonts w:ascii="Calibri" w:hAnsi="Calibri"/>
          <w:sz w:val="24"/>
          <w:szCs w:val="24"/>
          <w:highlight w:val="yellow"/>
        </w:rPr>
      </w:pPr>
      <w:r>
        <w:rPr>
          <w:sz w:val="24"/>
          <w:szCs w:val="24"/>
          <w:highlight w:val="yellow"/>
        </w:rPr>
      </w:r>
    </w:p>
    <w:tbl>
      <w:tblPr>
        <w:tblStyle w:val="Tabelacomgrade"/>
        <w:tblW w:w="6629"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4393"/>
      </w:tblGrid>
      <w:tr>
        <w:trPr>
          <w:cantSplit w:val="true"/>
        </w:trPr>
        <w:tc>
          <w:tcPr>
            <w:tcW w:w="2235"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SG =</w:t>
            </w:r>
          </w:p>
        </w:tc>
        <w:tc>
          <w:tcPr>
            <w:tcW w:w="4393" w:type="dxa"/>
            <w:tcBorders>
              <w:top w:val="nil"/>
              <w:left w:val="nil"/>
              <w:right w:val="nil"/>
            </w:tcBorders>
            <w:vAlign w:val="bottom"/>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Ativo Total</w:t>
            </w:r>
          </w:p>
        </w:tc>
      </w:tr>
      <w:tr>
        <w:trPr>
          <w:cantSplit w:val="true"/>
        </w:trPr>
        <w:tc>
          <w:tcPr>
            <w:tcW w:w="2235" w:type="dxa"/>
            <w:vMerge w:val="continue"/>
            <w:tcBorders>
              <w:top w:val="nil"/>
              <w:left w:val="nil"/>
              <w:bottom w:val="nil"/>
              <w:right w:val="nil"/>
            </w:tcBorders>
          </w:tcPr>
          <w:p>
            <w:pPr>
              <w:pStyle w:val="Nvel02"/>
              <w:widowControl w:val="false"/>
              <w:numPr>
                <w:ilvl w:val="0"/>
                <w:numId w:val="0"/>
              </w:numPr>
              <w:suppressAutoHyphens w:val="true"/>
              <w:spacing w:before="120" w:after="120"/>
              <w:ind w:hanging="0" w:left="0"/>
              <w:rPr>
                <w:rFonts w:ascii="Calibri" w:hAnsi="Calibri"/>
                <w:kern w:val="0"/>
                <w:sz w:val="24"/>
                <w:szCs w:val="24"/>
                <w:highlight w:val="yellow"/>
                <w:lang w:val="pt-BR" w:bidi="ar-SA"/>
              </w:rPr>
            </w:pPr>
            <w:r>
              <w:rPr>
                <w:kern w:val="0"/>
                <w:sz w:val="24"/>
                <w:szCs w:val="24"/>
                <w:highlight w:val="yellow"/>
                <w:lang w:val="pt-BR" w:bidi="ar-SA"/>
              </w:rPr>
            </w:r>
          </w:p>
        </w:tc>
        <w:tc>
          <w:tcPr>
            <w:tcW w:w="4393" w:type="dxa"/>
            <w:tcBorders>
              <w:left w:val="nil"/>
              <w:bottom w:val="nil"/>
              <w:right w:val="nil"/>
            </w:tcBorders>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Passivo Circulante + Passivo Não Circulante</w:t>
            </w:r>
          </w:p>
        </w:tc>
      </w:tr>
    </w:tbl>
    <w:p>
      <w:pPr>
        <w:pStyle w:val="Nvel02"/>
        <w:numPr>
          <w:ilvl w:val="0"/>
          <w:numId w:val="0"/>
        </w:numPr>
        <w:ind w:hanging="0" w:left="0"/>
        <w:rPr>
          <w:rFonts w:ascii="Calibri" w:hAnsi="Calibri"/>
          <w:sz w:val="24"/>
          <w:szCs w:val="24"/>
          <w:highlight w:val="yellow"/>
        </w:rPr>
      </w:pPr>
      <w:r>
        <w:rPr>
          <w:sz w:val="24"/>
          <w:szCs w:val="24"/>
          <w:highlight w:val="yellow"/>
        </w:rPr>
      </w:r>
    </w:p>
    <w:tbl>
      <w:tblPr>
        <w:tblStyle w:val="Tabelacomgrade"/>
        <w:tblW w:w="4786"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2235"/>
        <w:gridCol w:w="2550"/>
      </w:tblGrid>
      <w:tr>
        <w:trPr/>
        <w:tc>
          <w:tcPr>
            <w:tcW w:w="2235" w:type="dxa"/>
            <w:vMerge w:val="restart"/>
            <w:tcBorders>
              <w:top w:val="nil"/>
              <w:left w:val="nil"/>
              <w:bottom w:val="nil"/>
              <w:right w:val="nil"/>
            </w:tcBorders>
            <w:vAlign w:val="center"/>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LC =</w:t>
            </w:r>
          </w:p>
        </w:tc>
        <w:tc>
          <w:tcPr>
            <w:tcW w:w="2550" w:type="dxa"/>
            <w:tcBorders>
              <w:top w:val="nil"/>
              <w:left w:val="nil"/>
              <w:right w:val="nil"/>
            </w:tcBorders>
            <w:vAlign w:val="bottom"/>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Ativo Circulante</w:t>
            </w:r>
          </w:p>
        </w:tc>
      </w:tr>
      <w:tr>
        <w:trPr/>
        <w:tc>
          <w:tcPr>
            <w:tcW w:w="2235" w:type="dxa"/>
            <w:vMerge w:val="continue"/>
            <w:tcBorders>
              <w:top w:val="nil"/>
              <w:left w:val="nil"/>
              <w:bottom w:val="nil"/>
              <w:right w:val="nil"/>
            </w:tcBorders>
          </w:tcPr>
          <w:p>
            <w:pPr>
              <w:pStyle w:val="Nvel02"/>
              <w:widowControl w:val="false"/>
              <w:numPr>
                <w:ilvl w:val="0"/>
                <w:numId w:val="0"/>
              </w:numPr>
              <w:suppressAutoHyphens w:val="true"/>
              <w:spacing w:before="120" w:after="120"/>
              <w:ind w:hanging="0" w:left="0"/>
              <w:rPr>
                <w:rFonts w:ascii="Calibri" w:hAnsi="Calibri"/>
                <w:kern w:val="0"/>
                <w:sz w:val="24"/>
                <w:szCs w:val="24"/>
                <w:highlight w:val="yellow"/>
                <w:lang w:val="pt-BR" w:bidi="ar-SA"/>
              </w:rPr>
            </w:pPr>
            <w:r>
              <w:rPr>
                <w:kern w:val="0"/>
                <w:sz w:val="24"/>
                <w:szCs w:val="24"/>
                <w:highlight w:val="yellow"/>
                <w:lang w:val="pt-BR" w:bidi="ar-SA"/>
              </w:rPr>
            </w:r>
          </w:p>
        </w:tc>
        <w:tc>
          <w:tcPr>
            <w:tcW w:w="2550" w:type="dxa"/>
            <w:tcBorders>
              <w:left w:val="nil"/>
              <w:bottom w:val="nil"/>
              <w:right w:val="nil"/>
            </w:tcBorders>
          </w:tcPr>
          <w:p>
            <w:pPr>
              <w:pStyle w:val="Nvel02"/>
              <w:widowControl w:val="false"/>
              <w:numPr>
                <w:ilvl w:val="0"/>
                <w:numId w:val="0"/>
              </w:numPr>
              <w:suppressAutoHyphens w:val="true"/>
              <w:spacing w:before="120" w:after="120"/>
              <w:ind w:hanging="0" w:left="0"/>
              <w:rPr>
                <w:rFonts w:ascii="Calibri" w:hAnsi="Calibri"/>
                <w:sz w:val="24"/>
                <w:szCs w:val="24"/>
              </w:rPr>
            </w:pPr>
            <w:r>
              <w:rPr>
                <w:kern w:val="0"/>
                <w:sz w:val="24"/>
                <w:szCs w:val="24"/>
                <w:highlight w:val="yellow"/>
                <w:lang w:val="pt-BR" w:bidi="ar-SA"/>
              </w:rPr>
              <w:t>Passivo Circulante</w:t>
            </w:r>
            <w:bookmarkStart w:id="21" w:name="_Hlk190941228"/>
            <w:bookmarkStart w:id="22" w:name="_Hlk169694941"/>
            <w:bookmarkEnd w:id="21"/>
            <w:bookmarkEnd w:id="22"/>
          </w:p>
        </w:tc>
      </w:tr>
    </w:tbl>
    <w:p>
      <w:pPr>
        <w:pStyle w:val="Nvel02"/>
        <w:numPr>
          <w:ilvl w:val="1"/>
          <w:numId w:val="3"/>
        </w:numPr>
        <w:ind w:hanging="0" w:left="0"/>
        <w:rPr>
          <w:rFonts w:ascii="Calibri" w:hAnsi="Calibri"/>
          <w:sz w:val="24"/>
          <w:szCs w:val="24"/>
        </w:rPr>
      </w:pPr>
      <w:r>
        <w:rPr>
          <w:sz w:val="24"/>
          <w:szCs w:val="24"/>
        </w:rPr>
        <w:t>Caso a empresa interessada apresente resultado inferior ou igual a 1 (um) em qualquer dos índices de Liquidez Geral (LG), Solvência Geral (SG) e Liquidez Corrente (LC), será exigido para fins de habilitação [capital mínimo] de 10% do valor total estimado da contratação</w:t>
      </w:r>
    </w:p>
    <w:p>
      <w:pPr>
        <w:pStyle w:val="Nvel02"/>
        <w:numPr>
          <w:ilvl w:val="1"/>
          <w:numId w:val="3"/>
        </w:numPr>
        <w:ind w:hanging="0" w:left="0"/>
        <w:rPr>
          <w:rFonts w:ascii="Calibri" w:hAnsi="Calibri"/>
          <w:sz w:val="24"/>
          <w:szCs w:val="24"/>
        </w:rPr>
      </w:pPr>
      <w:r>
        <w:rPr>
          <w:sz w:val="24"/>
          <w:szCs w:val="24"/>
        </w:rPr>
        <w:t>Os documentos referidos acima limitar-se-ão ao último exercício no caso de a pessoa jurídica ter sido constituída há menos de 2 (dois) anos;</w:t>
      </w:r>
    </w:p>
    <w:p>
      <w:pPr>
        <w:pStyle w:val="Nvel02"/>
        <w:numPr>
          <w:ilvl w:val="1"/>
          <w:numId w:val="3"/>
        </w:numPr>
        <w:ind w:hanging="0" w:left="0"/>
        <w:rPr>
          <w:rFonts w:ascii="Calibri" w:hAnsi="Calibri"/>
          <w:sz w:val="24"/>
          <w:szCs w:val="24"/>
        </w:rPr>
      </w:pPr>
      <w:bookmarkStart w:id="23" w:name="_Hlk170895502"/>
      <w:r>
        <w:rPr>
          <w:sz w:val="24"/>
          <w:szCs w:val="24"/>
        </w:rPr>
        <w:t>Os documentos referidos acima deverão ser exigidos com base no limite definido pela Receita Federal do Brasil para transmissão da Escrituração Contábil Digital - ECD ao Sped.</w:t>
      </w:r>
      <w:bookmarkEnd w:id="23"/>
    </w:p>
    <w:p>
      <w:pPr>
        <w:pStyle w:val="Nvel02"/>
        <w:numPr>
          <w:ilvl w:val="1"/>
          <w:numId w:val="3"/>
        </w:numPr>
        <w:ind w:hanging="0" w:left="0"/>
        <w:rPr>
          <w:rFonts w:ascii="Calibri" w:hAnsi="Calibri"/>
          <w:sz w:val="24"/>
          <w:szCs w:val="24"/>
        </w:rPr>
      </w:pPr>
      <w:r>
        <w:rPr>
          <w:sz w:val="24"/>
          <w:szCs w:val="24"/>
        </w:rPr>
        <w:t>As empresas criadas no exercício financeiro da licitação/contratação deverão atender a todas as exigências da habilitação e poderão substituir os demonstrativos contábeis pelo balanço de abertura.</w:t>
      </w:r>
    </w:p>
    <w:p>
      <w:pPr>
        <w:pStyle w:val="Nvel1-SemNumerao"/>
        <w:ind w:hanging="0" w:left="0"/>
        <w:rPr>
          <w:rFonts w:ascii="Calibri" w:hAnsi="Calibri"/>
          <w:sz w:val="24"/>
          <w:szCs w:val="24"/>
        </w:rPr>
      </w:pPr>
      <w:commentRangeStart w:id="40"/>
      <w:commentRangeStart w:id="41"/>
      <w:r>
        <w:rPr>
          <w:rFonts w:ascii="Calibri" w:hAnsi="Calibri"/>
          <w:sz w:val="24"/>
          <w:szCs w:val="24"/>
        </w:rPr>
        <w:t>Qualificação Técnica</w:t>
      </w:r>
      <w:r>
        <w:rPr>
          <w:rFonts w:ascii="Calibri" w:hAnsi="Calibri"/>
          <w:sz w:val="24"/>
          <w:szCs w:val="24"/>
        </w:rPr>
      </w:r>
      <w:commentRangeEnd w:id="41"/>
      <w:r>
        <w:commentReference w:id="41"/>
      </w:r>
      <w:commentRangeEnd w:id="40"/>
      <w:r>
        <w:commentReference w:id="40"/>
      </w:r>
      <w:r>
        <w:rPr>
          <w:rFonts w:ascii="Calibri" w:hAnsi="Calibri"/>
          <w:sz w:val="24"/>
          <w:szCs w:val="24"/>
        </w:rPr>
      </w:r>
    </w:p>
    <w:p>
      <w:pPr>
        <w:pStyle w:val="Nvel2-Opcional"/>
        <w:numPr>
          <w:ilvl w:val="1"/>
          <w:numId w:val="3"/>
        </w:numPr>
        <w:rPr>
          <w:rFonts w:ascii="Calibri" w:hAnsi="Calibri"/>
          <w:sz w:val="24"/>
          <w:szCs w:val="24"/>
        </w:rPr>
      </w:pPr>
      <w:commentRangeStart w:id="42"/>
      <w:r>
        <w:rPr>
          <w:i w:val="false"/>
          <w:iCs w:val="false"/>
          <w:color w:val="auto"/>
          <w:sz w:val="24"/>
          <w:szCs w:val="24"/>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pPr>
        <w:pStyle w:val="Nvel3-Opcional"/>
        <w:numPr>
          <w:ilvl w:val="2"/>
          <w:numId w:val="145"/>
        </w:numPr>
        <w:ind w:hanging="0" w:left="284"/>
        <w:rPr>
          <w:rFonts w:ascii="Calibri" w:hAnsi="Calibri"/>
          <w:sz w:val="24"/>
          <w:szCs w:val="24"/>
        </w:rPr>
      </w:pPr>
      <w:r>
        <w:rPr>
          <w:rFonts w:ascii="Calibri" w:hAnsi="Calibri"/>
          <w:i w:val="false"/>
          <w:color w:val="auto"/>
          <w:sz w:val="24"/>
          <w:szCs w:val="24"/>
        </w:rPr>
        <w:t>Para fins da comprovação de que trata este subitem, os atestados deverão dizer respeito a contratos executados com as seguintes características mínimas:</w:t>
      </w:r>
    </w:p>
    <w:p>
      <w:pPr>
        <w:pStyle w:val="Nvel4-R"/>
        <w:numPr>
          <w:ilvl w:val="3"/>
          <w:numId w:val="146"/>
        </w:numPr>
        <w:ind w:hanging="0" w:left="567"/>
        <w:rPr>
          <w:rFonts w:ascii="Calibri" w:hAnsi="Calibri"/>
          <w:sz w:val="24"/>
          <w:szCs w:val="24"/>
        </w:rPr>
      </w:pPr>
      <w:r>
        <w:rPr>
          <w:rFonts w:ascii="Calibri" w:hAnsi="Calibri"/>
          <w:i w:val="false"/>
          <w:color w:val="auto"/>
          <w:sz w:val="24"/>
          <w:szCs w:val="24"/>
        </w:rPr>
        <w:t xml:space="preserve">Fornecimento, de forma contínua ou parcelada, de </w:t>
      </w:r>
      <w:r>
        <w:rPr>
          <w:rFonts w:ascii="Calibri" w:hAnsi="Calibri"/>
          <w:b/>
          <w:i w:val="false"/>
          <w:color w:val="auto"/>
          <w:sz w:val="24"/>
          <w:szCs w:val="24"/>
        </w:rPr>
        <w:t>insumos químicos ou produtos de limpeza específicos para equipamentos industriais de cocção ou similares</w:t>
      </w:r>
      <w:r>
        <w:rPr>
          <w:rFonts w:ascii="Calibri" w:hAnsi="Calibri"/>
          <w:i w:val="false"/>
          <w:color w:val="auto"/>
          <w:sz w:val="24"/>
          <w:szCs w:val="24"/>
        </w:rPr>
        <w:t>, compatíveis com sistemas automatizados de higienização, contemplando</w:t>
      </w:r>
    </w:p>
    <w:p>
      <w:pPr>
        <w:pStyle w:val="Nivel5"/>
        <w:numPr>
          <w:ilvl w:val="4"/>
          <w:numId w:val="147"/>
        </w:numPr>
        <w:ind w:hanging="0" w:left="851"/>
        <w:rPr>
          <w:rFonts w:ascii="Calibri" w:hAnsi="Calibri"/>
          <w:sz w:val="24"/>
          <w:szCs w:val="24"/>
        </w:rPr>
      </w:pPr>
      <w:r>
        <w:rPr>
          <w:rFonts w:ascii="Calibri" w:hAnsi="Calibri"/>
          <w:i w:val="false"/>
          <w:color w:val="auto"/>
          <w:sz w:val="24"/>
          <w:szCs w:val="24"/>
        </w:rPr>
        <w:t xml:space="preserve">comprovação de fornecimento anterior de </w:t>
      </w:r>
      <w:r>
        <w:rPr>
          <w:rFonts w:ascii="Calibri" w:hAnsi="Calibri"/>
          <w:b/>
          <w:i w:val="false"/>
          <w:color w:val="auto"/>
          <w:sz w:val="24"/>
          <w:szCs w:val="24"/>
        </w:rPr>
        <w:t>pastilhas detergentes, desincrustantes ou descalcificantes industriais</w:t>
      </w:r>
      <w:r>
        <w:rPr>
          <w:rFonts w:ascii="Calibri" w:hAnsi="Calibri"/>
          <w:i w:val="false"/>
          <w:color w:val="auto"/>
          <w:sz w:val="24"/>
          <w:szCs w:val="24"/>
        </w:rPr>
        <w:t xml:space="preserve"> destinados a fornos combinados, máquinas de lavar louças profissionais, ou equipamentos de tecnologia equivalente ou superior;</w:t>
      </w:r>
    </w:p>
    <w:p>
      <w:pPr>
        <w:pStyle w:val="Nvel3-Opcional"/>
        <w:numPr>
          <w:ilvl w:val="2"/>
          <w:numId w:val="148"/>
        </w:numPr>
        <w:ind w:hanging="0" w:left="284"/>
        <w:rPr>
          <w:rFonts w:ascii="Calibri" w:hAnsi="Calibri"/>
          <w:sz w:val="24"/>
          <w:szCs w:val="24"/>
        </w:rPr>
      </w:pPr>
      <w:r>
        <w:rPr>
          <w:rFonts w:ascii="Calibri" w:hAnsi="Calibri"/>
          <w:i w:val="false"/>
          <w:color w:val="auto"/>
          <w:sz w:val="24"/>
          <w:szCs w:val="24"/>
        </w:rPr>
        <w:t>Serão admitidos, para fins de comprovação de quantitativo mínimo exigido, a apresentação e o somatório de diferentes atestados relativos a contratos executados de forma concomitante.</w:t>
      </w:r>
      <w:commentRangeEnd w:id="42"/>
      <w:r>
        <w:commentReference w:id="42"/>
      </w:r>
      <w:r>
        <w:rPr>
          <w:rFonts w:ascii="Calibri" w:hAnsi="Calibri"/>
          <w:i w:val="false"/>
          <w:color w:val="auto"/>
          <w:sz w:val="24"/>
          <w:szCs w:val="24"/>
        </w:rPr>
      </w:r>
    </w:p>
    <w:p>
      <w:pPr>
        <w:pStyle w:val="Nvel3-Opcional"/>
        <w:numPr>
          <w:ilvl w:val="2"/>
          <w:numId w:val="149"/>
        </w:numPr>
        <w:ind w:hanging="0" w:left="284"/>
        <w:rPr>
          <w:rFonts w:ascii="Calibri" w:hAnsi="Calibri"/>
          <w:sz w:val="24"/>
          <w:szCs w:val="24"/>
        </w:rPr>
      </w:pPr>
      <w:commentRangeStart w:id="43"/>
      <w:r>
        <w:rPr>
          <w:rFonts w:ascii="Calibri" w:hAnsi="Calibri"/>
          <w:i w:val="false"/>
          <w:color w:val="auto"/>
          <w:sz w:val="24"/>
          <w:szCs w:val="24"/>
        </w:rPr>
        <w:t>Os atestados de capacidade técnica poderão ser apresentados em nome da matriz ou da filial do fornecedor.</w:t>
      </w:r>
      <w:commentRangeEnd w:id="43"/>
      <w:r>
        <w:commentReference w:id="43"/>
      </w:r>
      <w:r>
        <w:rPr>
          <w:rFonts w:ascii="Calibri" w:hAnsi="Calibri"/>
          <w:i w:val="false"/>
          <w:color w:val="auto"/>
          <w:sz w:val="24"/>
          <w:szCs w:val="24"/>
        </w:rPr>
      </w:r>
    </w:p>
    <w:p>
      <w:pPr>
        <w:pStyle w:val="Nvel3-Opcional"/>
        <w:numPr>
          <w:ilvl w:val="2"/>
          <w:numId w:val="150"/>
        </w:numPr>
        <w:ind w:hanging="0" w:left="284"/>
        <w:rPr>
          <w:rFonts w:ascii="Calibri" w:hAnsi="Calibri"/>
          <w:sz w:val="24"/>
          <w:szCs w:val="24"/>
        </w:rPr>
      </w:pPr>
      <w:bookmarkStart w:id="24" w:name="_Hlk171013756"/>
      <w:r>
        <w:rPr>
          <w:rFonts w:ascii="Calibri" w:hAnsi="Calibri"/>
          <w:i w:val="false"/>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bookmarkEnd w:id="24"/>
    </w:p>
    <w:p>
      <w:pPr>
        <w:pStyle w:val="Nvel1-SemNumerao"/>
        <w:ind w:hanging="0" w:left="0"/>
        <w:rPr>
          <w:rFonts w:ascii="Calibri" w:hAnsi="Calibri"/>
          <w:sz w:val="24"/>
          <w:szCs w:val="24"/>
        </w:rPr>
      </w:pPr>
      <w:r>
        <w:rPr>
          <w:rFonts w:ascii="Calibri" w:hAnsi="Calibri"/>
          <w:sz w:val="24"/>
          <w:szCs w:val="24"/>
        </w:rPr>
        <w:t>Disposições gerais sobre habilitação</w:t>
      </w:r>
    </w:p>
    <w:p>
      <w:pPr>
        <w:pStyle w:val="Nvel02"/>
        <w:numPr>
          <w:ilvl w:val="1"/>
          <w:numId w:val="3"/>
        </w:numPr>
        <w:ind w:hanging="0" w:left="0"/>
        <w:rPr>
          <w:rFonts w:ascii="Calibri" w:hAnsi="Calibri"/>
          <w:sz w:val="24"/>
          <w:szCs w:val="24"/>
        </w:rPr>
      </w:pPr>
      <w:r>
        <w:rPr>
          <w:sz w:val="24"/>
          <w:szCs w:val="24"/>
        </w:rPr>
        <w:t>Quando permitida a participação de empresas estrangeiras que não funcionem no País, as exigências de habilitação serão atendidas mediante documentos equivalentes, inicialmente apresentados em tradução livre.</w:t>
      </w:r>
    </w:p>
    <w:p>
      <w:pPr>
        <w:pStyle w:val="Nvel02"/>
        <w:numPr>
          <w:ilvl w:val="1"/>
          <w:numId w:val="3"/>
        </w:numPr>
        <w:ind w:hanging="0" w:left="0"/>
        <w:rPr>
          <w:rFonts w:ascii="Calibri" w:hAnsi="Calibri"/>
          <w:sz w:val="24"/>
          <w:szCs w:val="24"/>
        </w:rPr>
      </w:pPr>
      <w:r>
        <w:rPr>
          <w:sz w:val="24"/>
          <w:szCs w:val="24"/>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vel02"/>
        <w:numPr>
          <w:ilvl w:val="1"/>
          <w:numId w:val="3"/>
        </w:numPr>
        <w:ind w:hanging="0" w:left="0"/>
        <w:rPr>
          <w:rFonts w:ascii="Calibri" w:hAnsi="Calibri"/>
          <w:sz w:val="24"/>
          <w:szCs w:val="24"/>
        </w:rPr>
      </w:pPr>
      <w:r>
        <w:rPr>
          <w:sz w:val="24"/>
          <w:szCs w:val="24"/>
        </w:rPr>
        <w:t>Não serão aceitos documentos de habilitação com indicação de CNPJ/CPF diferentes, salvo aqueles legalmente permitidos.</w:t>
      </w:r>
    </w:p>
    <w:p>
      <w:pPr>
        <w:pStyle w:val="Nvel02"/>
        <w:numPr>
          <w:ilvl w:val="1"/>
          <w:numId w:val="3"/>
        </w:numPr>
        <w:ind w:hanging="0" w:left="0"/>
        <w:rPr>
          <w:rFonts w:ascii="Calibri" w:hAnsi="Calibri"/>
          <w:sz w:val="24"/>
          <w:szCs w:val="24"/>
        </w:rPr>
      </w:pPr>
      <w:r>
        <w:rPr>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vel02"/>
        <w:numPr>
          <w:ilvl w:val="1"/>
          <w:numId w:val="3"/>
        </w:numPr>
        <w:ind w:hanging="0" w:left="0"/>
        <w:rPr>
          <w:rFonts w:ascii="Calibri" w:hAnsi="Calibri"/>
          <w:sz w:val="24"/>
          <w:szCs w:val="24"/>
        </w:rPr>
      </w:pPr>
      <w:bookmarkStart w:id="25" w:name="_Hlk82473550"/>
      <w:r>
        <w:rPr>
          <w:sz w:val="24"/>
          <w:szCs w:val="24"/>
        </w:rPr>
        <w:t>Serão aceitos registros de CNPJ de fornecedor matriz e filial com diferenças de números de documentos pertinentes ao CND e ao CRF/FGTS, quando for comprovada a centralização do recolhimento dessas contribuições.</w:t>
      </w:r>
      <w:bookmarkEnd w:id="25"/>
    </w:p>
    <w:p>
      <w:pPr>
        <w:pStyle w:val="Nivel01"/>
        <w:numPr>
          <w:ilvl w:val="0"/>
          <w:numId w:val="3"/>
        </w:numPr>
        <w:ind w:hanging="357" w:left="357"/>
        <w:rPr>
          <w:rFonts w:ascii="Calibri" w:hAnsi="Calibri"/>
          <w:sz w:val="24"/>
          <w:szCs w:val="24"/>
        </w:rPr>
      </w:pPr>
      <w:commentRangeStart w:id="44"/>
      <w:r>
        <w:rPr>
          <w:rFonts w:ascii="Calibri" w:hAnsi="Calibri"/>
          <w:sz w:val="24"/>
          <w:szCs w:val="24"/>
        </w:rPr>
        <w:t xml:space="preserve">ESTIMATIVAS DO VALOR DA </w:t>
      </w:r>
      <w:commentRangeStart w:id="45"/>
      <w:r>
        <w:rPr>
          <w:rFonts w:ascii="Calibri" w:hAnsi="Calibri"/>
          <w:sz w:val="24"/>
          <w:szCs w:val="24"/>
        </w:rPr>
        <w:t>CONTRATAÇÃO</w:t>
      </w:r>
      <w:r>
        <w:rPr>
          <w:rFonts w:ascii="Calibri" w:hAnsi="Calibri"/>
          <w:sz w:val="24"/>
          <w:szCs w:val="24"/>
        </w:rPr>
      </w:r>
      <w:commentRangeEnd w:id="44"/>
      <w:r>
        <w:commentReference w:id="44"/>
      </w:r>
      <w:commentRangeEnd w:id="45"/>
      <w:r>
        <w:commentReference w:id="45"/>
      </w:r>
      <w:r>
        <w:rPr>
          <w:rFonts w:ascii="Calibri" w:hAnsi="Calibri"/>
          <w:sz w:val="24"/>
          <w:szCs w:val="24"/>
        </w:rPr>
      </w:r>
    </w:p>
    <w:p>
      <w:pPr>
        <w:pStyle w:val="Nvel2-Opcional"/>
        <w:numPr>
          <w:ilvl w:val="1"/>
          <w:numId w:val="3"/>
        </w:numPr>
        <w:rPr/>
      </w:pPr>
      <w:r>
        <w:rPr>
          <w:i w:val="false"/>
          <w:iCs w:val="false"/>
          <w:color w:val="auto"/>
          <w:sz w:val="24"/>
          <w:szCs w:val="24"/>
        </w:rPr>
        <w:t xml:space="preserve">O custo estimado total da contratação, que corresponde ao valor máximo aceitável, é </w:t>
      </w:r>
      <w:r>
        <w:rPr>
          <w:i w:val="false"/>
          <w:iCs w:val="false"/>
          <w:color w:val="000000"/>
          <w:sz w:val="24"/>
          <w:szCs w:val="24"/>
          <w:shd w:fill="auto" w:val="clear"/>
        </w:rPr>
        <w:t>de</w:t>
      </w:r>
      <w:r>
        <w:rPr>
          <w:b/>
          <w:bCs/>
          <w:i w:val="false"/>
          <w:iCs w:val="false"/>
          <w:color w:val="000000"/>
          <w:sz w:val="24"/>
          <w:szCs w:val="24"/>
          <w:shd w:fill="auto" w:val="clear"/>
        </w:rPr>
        <w:t xml:space="preserve"> </w:t>
      </w:r>
      <w:bookmarkStart w:id="26" w:name="_Hlk210594087_Copia_1"/>
      <w:r>
        <w:rPr>
          <w:rStyle w:val="Fontepargpadro"/>
          <w:rFonts w:cs="Calibri"/>
          <w:b/>
          <w:bCs/>
          <w:i w:val="false"/>
          <w:iCs w:val="false"/>
          <w:color w:val="000000"/>
          <w:spacing w:val="4"/>
          <w:sz w:val="24"/>
          <w:szCs w:val="24"/>
          <w:shd w:fill="auto" w:val="clear"/>
        </w:rPr>
        <w:t>R$ 85.593,60 (oitenta e cinco mil, quinhentos e noventa e três e sessenta centavos)</w:t>
      </w:r>
      <w:bookmarkEnd w:id="26"/>
      <w:r>
        <w:rPr>
          <w:rStyle w:val="Fontepargpadro"/>
          <w:rFonts w:cs="Calibri"/>
          <w:b/>
          <w:bCs/>
          <w:i w:val="false"/>
          <w:iCs w:val="false"/>
          <w:color w:val="000000"/>
          <w:spacing w:val="4"/>
          <w:sz w:val="24"/>
          <w:szCs w:val="24"/>
          <w:shd w:fill="auto" w:val="clear"/>
        </w:rPr>
        <w:t>.</w:t>
      </w:r>
    </w:p>
    <w:p>
      <w:pPr>
        <w:pStyle w:val="Nvel2-Opcional"/>
        <w:numPr>
          <w:ilvl w:val="1"/>
          <w:numId w:val="3"/>
        </w:numPr>
        <w:rPr>
          <w:rFonts w:ascii="Calibri" w:hAnsi="Calibri"/>
          <w:sz w:val="24"/>
          <w:szCs w:val="24"/>
        </w:rPr>
      </w:pPr>
      <w:commentRangeStart w:id="46"/>
      <w:r>
        <w:rPr>
          <w:color w:val="auto"/>
          <w:sz w:val="24"/>
          <w:szCs w:val="24"/>
        </w:rPr>
        <w:t>A estimativa de custo levou em consideração o risco envolvido na contratação e sua alocação entre Contratante e Contratado, conforme especificado na matriz de risco constante do Contrato.</w:t>
      </w:r>
      <w:commentRangeEnd w:id="46"/>
      <w:r>
        <w:commentReference w:id="46"/>
      </w:r>
      <w:r>
        <w:rPr>
          <w:color w:val="auto"/>
          <w:sz w:val="24"/>
          <w:szCs w:val="24"/>
        </w:rPr>
      </w:r>
    </w:p>
    <w:p>
      <w:pPr>
        <w:pStyle w:val="Nvel2-Opcional"/>
        <w:numPr>
          <w:ilvl w:val="1"/>
          <w:numId w:val="3"/>
        </w:numPr>
        <w:rPr>
          <w:rFonts w:ascii="Calibri" w:hAnsi="Calibri"/>
          <w:sz w:val="24"/>
          <w:szCs w:val="24"/>
        </w:rPr>
      </w:pPr>
      <w:r>
        <w:rPr>
          <w:color w:val="auto"/>
          <w:sz w:val="24"/>
          <w:szCs w:val="24"/>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pPr>
        <w:pStyle w:val="Nvel3-Opcional"/>
        <w:numPr>
          <w:ilvl w:val="2"/>
          <w:numId w:val="151"/>
        </w:numPr>
        <w:ind w:hanging="0" w:left="284"/>
        <w:rPr>
          <w:rFonts w:ascii="Calibri" w:hAnsi="Calibri"/>
          <w:sz w:val="24"/>
          <w:szCs w:val="24"/>
        </w:rPr>
      </w:pPr>
      <w:r>
        <w:rPr>
          <w:rFonts w:ascii="Calibri" w:hAnsi="Calibri"/>
          <w:color w:val="auto"/>
          <w:sz w:val="24"/>
          <w:szCs w:val="24"/>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Pr>
          <w:rFonts w:ascii="Calibri" w:hAnsi="Calibri"/>
          <w:b/>
          <w:color w:val="auto"/>
          <w:sz w:val="24"/>
          <w:szCs w:val="24"/>
        </w:rPr>
        <w:t>t</w:t>
      </w:r>
      <w:r>
        <w:rPr>
          <w:rFonts w:ascii="Calibri" w:hAnsi="Calibri"/>
          <w:color w:val="auto"/>
          <w:sz w:val="24"/>
          <w:szCs w:val="24"/>
        </w:rPr>
        <w:t xml:space="preserve"> do art. 124 da Lei nº 14.133, de 2021;</w:t>
      </w:r>
    </w:p>
    <w:p>
      <w:pPr>
        <w:pStyle w:val="Nivel3"/>
        <w:numPr>
          <w:ilvl w:val="2"/>
          <w:numId w:val="152"/>
        </w:numPr>
        <w:ind w:hanging="0" w:left="284"/>
        <w:rPr>
          <w:rFonts w:ascii="Calibri" w:hAnsi="Calibri"/>
          <w:sz w:val="24"/>
          <w:szCs w:val="24"/>
        </w:rPr>
      </w:pPr>
      <w:r>
        <w:rPr>
          <w:rFonts w:ascii="Calibri" w:hAnsi="Calibri"/>
          <w:i/>
          <w:sz w:val="24"/>
          <w:szCs w:val="24"/>
        </w:rPr>
        <w:t>em caso de criação, alteração ou extinção de quaisquer tributos ou encargos legais ou superveniência de disposições legais, com comprovada repercussão sobre os preços registrados;</w:t>
      </w:r>
    </w:p>
    <w:p>
      <w:pPr>
        <w:pStyle w:val="Nivel3"/>
        <w:numPr>
          <w:ilvl w:val="2"/>
          <w:numId w:val="153"/>
        </w:numPr>
        <w:ind w:hanging="0" w:left="284"/>
        <w:rPr>
          <w:rFonts w:ascii="Calibri" w:hAnsi="Calibri"/>
          <w:sz w:val="24"/>
          <w:szCs w:val="24"/>
        </w:rPr>
      </w:pPr>
      <w:r>
        <w:rPr>
          <w:rFonts w:ascii="Calibri" w:hAnsi="Calibri"/>
          <w:i/>
          <w:sz w:val="24"/>
          <w:szCs w:val="24"/>
        </w:rPr>
        <w:t>serão reajustados os preços registrados, respeitada a contagem da anualidade e o índice previsto para a contratação; ou</w:t>
      </w:r>
    </w:p>
    <w:p>
      <w:pPr>
        <w:pStyle w:val="Nivel3"/>
        <w:numPr>
          <w:ilvl w:val="2"/>
          <w:numId w:val="154"/>
        </w:numPr>
        <w:ind w:hanging="0" w:left="284"/>
        <w:rPr>
          <w:rFonts w:ascii="Calibri" w:hAnsi="Calibri"/>
          <w:sz w:val="24"/>
          <w:szCs w:val="24"/>
        </w:rPr>
      </w:pPr>
      <w:r>
        <w:rPr>
          <w:rFonts w:ascii="Calibri" w:hAnsi="Calibri"/>
          <w:i/>
          <w:sz w:val="24"/>
          <w:szCs w:val="24"/>
        </w:rPr>
        <w:t>poderão ser repactuados, a pedido do interessado, conforme critérios definidos para a contratação.</w:t>
      </w:r>
    </w:p>
    <w:p>
      <w:pPr>
        <w:pStyle w:val="Nivel01"/>
        <w:numPr>
          <w:ilvl w:val="0"/>
          <w:numId w:val="3"/>
        </w:numPr>
        <w:ind w:hanging="357" w:left="357"/>
        <w:rPr>
          <w:rFonts w:ascii="Calibri" w:hAnsi="Calibri"/>
          <w:sz w:val="24"/>
          <w:szCs w:val="24"/>
        </w:rPr>
      </w:pPr>
      <w:r>
        <w:rPr>
          <w:rFonts w:ascii="Calibri" w:hAnsi="Calibri"/>
          <w:sz w:val="24"/>
          <w:szCs w:val="24"/>
        </w:rPr>
        <w:t>ADEQUAÇÃO ORÇAMENTÁRIA</w:t>
      </w:r>
    </w:p>
    <w:p>
      <w:pPr>
        <w:pStyle w:val="Nvel2-Opcional"/>
        <w:numPr>
          <w:ilvl w:val="1"/>
          <w:numId w:val="3"/>
        </w:numPr>
        <w:rPr>
          <w:rFonts w:ascii="Calibri" w:hAnsi="Calibri"/>
          <w:sz w:val="24"/>
          <w:szCs w:val="24"/>
        </w:rPr>
      </w:pPr>
      <w:r>
        <w:rPr>
          <w:i w:val="false"/>
          <w:iCs w:val="false"/>
          <w:color w:val="auto"/>
          <w:sz w:val="24"/>
          <w:szCs w:val="24"/>
        </w:rPr>
        <w:t xml:space="preserve">A indicação da dotação orçamentária fica postergada para o momento da assinatura do contrato ou instrumento </w:t>
      </w:r>
      <w:commentRangeStart w:id="47"/>
      <w:r>
        <w:rPr>
          <w:i w:val="false"/>
          <w:iCs w:val="false"/>
          <w:color w:val="auto"/>
          <w:sz w:val="24"/>
          <w:szCs w:val="24"/>
        </w:rPr>
        <w:t>equivalente</w:t>
      </w:r>
      <w:r>
        <w:rPr>
          <w:i w:val="false"/>
          <w:iCs w:val="false"/>
          <w:color w:val="auto"/>
          <w:sz w:val="24"/>
          <w:szCs w:val="24"/>
        </w:rPr>
      </w:r>
      <w:commentRangeEnd w:id="47"/>
      <w:r>
        <w:commentReference w:id="47"/>
      </w:r>
      <w:r>
        <w:rPr>
          <w:i w:val="false"/>
          <w:iCs w:val="false"/>
          <w:color w:val="auto"/>
          <w:sz w:val="24"/>
          <w:szCs w:val="24"/>
        </w:rPr>
        <w:t>.</w:t>
      </w:r>
    </w:p>
    <w:p>
      <w:pPr>
        <w:pStyle w:val="Nvel2-Opcional"/>
        <w:numPr>
          <w:ilvl w:val="0"/>
          <w:numId w:val="0"/>
        </w:numPr>
        <w:ind w:hanging="0" w:left="0"/>
        <w:rPr>
          <w:i w:val="false"/>
          <w:i w:val="false"/>
          <w:iCs w:val="false"/>
          <w:color w:val="auto"/>
        </w:rPr>
      </w:pPr>
      <w:r>
        <w:rPr>
          <w:sz w:val="24"/>
          <w:szCs w:val="24"/>
        </w:rPr>
      </w:r>
    </w:p>
    <w:p>
      <w:pPr>
        <w:pStyle w:val="Nvel2-Opcional"/>
        <w:numPr>
          <w:ilvl w:val="0"/>
          <w:numId w:val="0"/>
        </w:numPr>
        <w:ind w:hanging="0" w:left="0"/>
        <w:rPr>
          <w:i w:val="false"/>
          <w:i w:val="false"/>
          <w:iCs w:val="false"/>
          <w:color w:val="auto"/>
        </w:rPr>
      </w:pPr>
      <w:r>
        <w:rPr>
          <w:sz w:val="24"/>
          <w:szCs w:val="24"/>
        </w:rPr>
      </w:r>
    </w:p>
    <w:p>
      <w:pPr>
        <w:pStyle w:val="Nivel01"/>
        <w:numPr>
          <w:ilvl w:val="0"/>
          <w:numId w:val="3"/>
        </w:numPr>
        <w:ind w:hanging="357" w:left="357"/>
        <w:rPr>
          <w:rFonts w:ascii="Calibri" w:hAnsi="Calibri"/>
          <w:sz w:val="24"/>
          <w:szCs w:val="24"/>
        </w:rPr>
      </w:pPr>
      <w:r>
        <w:rPr>
          <w:rFonts w:ascii="Calibri" w:hAnsi="Calibri"/>
          <w:sz w:val="24"/>
          <w:szCs w:val="24"/>
        </w:rPr>
        <w:t>DISPOSIÇÕES FINAIS</w:t>
      </w:r>
    </w:p>
    <w:p>
      <w:pPr>
        <w:pStyle w:val="Nvel02"/>
        <w:widowControl/>
        <w:numPr>
          <w:ilvl w:val="1"/>
          <w:numId w:val="3"/>
        </w:numPr>
        <w:shd w:val="clear" w:color="auto" w:fill="auto"/>
        <w:suppressAutoHyphens w:val="true"/>
        <w:bidi w:val="0"/>
        <w:spacing w:lineRule="auto" w:line="276" w:before="120" w:after="120"/>
        <w:ind w:hanging="0" w:left="0"/>
        <w:jc w:val="both"/>
        <w:rPr>
          <w:rFonts w:ascii="Calibri" w:hAnsi="Calibri" w:eastAsia="Arial" w:cs="Arial"/>
          <w:i w:val="false"/>
          <w:i w:val="false"/>
          <w:iCs/>
          <w:color w:val="000000"/>
          <w:kern w:val="0"/>
          <w:sz w:val="24"/>
          <w:szCs w:val="24"/>
          <w:lang w:val="pt-BR" w:eastAsia="pt-BR" w:bidi="ar-SA"/>
        </w:rPr>
      </w:pPr>
      <w:bookmarkStart w:id="27" w:name="_Hlk82471863"/>
      <w:r>
        <w:rPr>
          <w:rFonts w:eastAsia="Arial" w:cs="Arial"/>
          <w:i w:val="false"/>
          <w:iCs/>
          <w:color w:val="000000"/>
          <w:kern w:val="0"/>
          <w:sz w:val="24"/>
          <w:szCs w:val="24"/>
          <w:lang w:val="pt-BR" w:eastAsia="pt-BR" w:bidi="ar-SA"/>
        </w:rPr>
        <w:t>As informações contidas neste Termo de Referência não são classificadas como sigilosas</w:t>
      </w:r>
      <w:bookmarkEnd w:id="27"/>
      <w:r>
        <w:rPr>
          <w:rFonts w:eastAsia="Arial" w:cs="Arial"/>
          <w:i w:val="false"/>
          <w:iCs/>
          <w:color w:val="000000"/>
          <w:kern w:val="0"/>
          <w:sz w:val="24"/>
          <w:szCs w:val="24"/>
          <w:lang w:val="pt-BR" w:eastAsia="pt-BR" w:bidi="ar-SA"/>
        </w:rPr>
        <w:t>.</w:t>
      </w:r>
    </w:p>
    <w:p>
      <w:pPr>
        <w:pStyle w:val="Nvel02"/>
        <w:widowControl/>
        <w:numPr>
          <w:ilvl w:val="0"/>
          <w:numId w:val="3"/>
        </w:numPr>
        <w:shd w:val="clear" w:color="auto" w:fill="auto"/>
        <w:suppressAutoHyphens w:val="true"/>
        <w:bidi w:val="0"/>
        <w:spacing w:lineRule="auto" w:line="276" w:before="120" w:after="120"/>
        <w:ind w:hanging="0" w:left="0"/>
        <w:jc w:val="both"/>
        <w:rPr>
          <w:rFonts w:ascii="Calibri" w:hAnsi="Calibri" w:eastAsia="Arial" w:cs="Arial"/>
          <w:i w:val="false"/>
          <w:i w:val="false"/>
          <w:iCs/>
          <w:color w:val="000000"/>
          <w:kern w:val="0"/>
          <w:sz w:val="24"/>
          <w:szCs w:val="24"/>
          <w:highlight w:val="none"/>
          <w:shd w:fill="auto" w:val="clear"/>
          <w:lang w:val="pt-BR" w:eastAsia="pt-BR" w:bidi="ar-SA"/>
        </w:rPr>
      </w:pPr>
      <w:r>
        <w:rPr>
          <w:rFonts w:eastAsia="Arial" w:cs="Arial"/>
          <w:i w:val="false"/>
          <w:iCs/>
          <w:color w:val="000000"/>
          <w:kern w:val="0"/>
          <w:sz w:val="24"/>
          <w:szCs w:val="24"/>
          <w:shd w:fill="auto" w:val="clear"/>
          <w:lang w:val="pt-BR" w:eastAsia="pt-BR" w:bidi="ar-SA"/>
        </w:rPr>
        <w:t>Apêndices</w:t>
      </w:r>
    </w:p>
    <w:p>
      <w:pPr>
        <w:pStyle w:val="Nvel02"/>
        <w:numPr>
          <w:ilvl w:val="0"/>
          <w:numId w:val="0"/>
        </w:numPr>
        <w:ind w:hanging="0" w:left="0"/>
        <w:rPr>
          <w:rFonts w:ascii="Calibri" w:hAnsi="Calibri"/>
          <w:color w:val="000000"/>
          <w:sz w:val="24"/>
          <w:szCs w:val="24"/>
        </w:rPr>
      </w:pPr>
      <w:r>
        <w:rPr>
          <w:color w:val="000000"/>
          <w:sz w:val="24"/>
          <w:szCs w:val="24"/>
          <w:shd w:fill="auto" w:val="clear"/>
        </w:rPr>
        <w:t xml:space="preserve">13.1 </w:t>
      </w:r>
      <w:r>
        <w:rPr>
          <w:rFonts w:ascii="Calibri" w:hAnsi="Calibri"/>
          <w:color w:val="000000"/>
          <w:sz w:val="24"/>
          <w:szCs w:val="24"/>
          <w:shd w:fill="auto" w:val="clear"/>
        </w:rPr>
        <w:t xml:space="preserve"> Apêndice </w:t>
      </w:r>
      <w:r>
        <w:rPr>
          <w:rFonts w:ascii="Calibri" w:hAnsi="Calibri"/>
          <w:color w:val="000000"/>
          <w:sz w:val="24"/>
          <w:szCs w:val="24"/>
          <w:shd w:fill="auto" w:val="clear"/>
        </w:rPr>
        <w:t xml:space="preserve">I </w:t>
      </w:r>
      <w:r>
        <w:rPr>
          <w:rFonts w:ascii="Calibri" w:hAnsi="Calibri"/>
          <w:color w:val="000000"/>
          <w:sz w:val="24"/>
          <w:szCs w:val="24"/>
          <w:shd w:fill="auto" w:val="clear"/>
        </w:rPr>
        <w:t>– Estudo Técnico Preliminar</w:t>
      </w:r>
    </w:p>
    <w:p>
      <w:pPr>
        <w:pStyle w:val="Nvel02"/>
        <w:numPr>
          <w:ilvl w:val="0"/>
          <w:numId w:val="0"/>
        </w:numPr>
        <w:ind w:hanging="0" w:left="0"/>
        <w:rPr>
          <w:rFonts w:ascii="Calibri" w:hAnsi="Calibri"/>
          <w:color w:val="000000"/>
          <w:sz w:val="24"/>
          <w:szCs w:val="24"/>
        </w:rPr>
      </w:pPr>
      <w:r>
        <w:rPr>
          <w:rFonts w:ascii="Calibri" w:hAnsi="Calibri"/>
          <w:color w:val="000000"/>
          <w:sz w:val="24"/>
          <w:szCs w:val="24"/>
          <w:shd w:fill="auto" w:val="clear"/>
        </w:rPr>
        <w:t xml:space="preserve">13.2  Apêndice </w:t>
      </w:r>
      <w:r>
        <w:rPr>
          <w:rFonts w:ascii="Calibri" w:hAnsi="Calibri"/>
          <w:color w:val="000000"/>
          <w:sz w:val="24"/>
          <w:szCs w:val="24"/>
          <w:shd w:fill="auto" w:val="clear"/>
        </w:rPr>
        <w:t>I</w:t>
      </w:r>
      <w:r>
        <w:rPr>
          <w:rFonts w:ascii="Calibri" w:hAnsi="Calibri"/>
          <w:color w:val="000000"/>
          <w:sz w:val="24"/>
          <w:szCs w:val="24"/>
          <w:shd w:fill="auto" w:val="clear"/>
        </w:rPr>
        <w:t>I</w:t>
      </w:r>
      <w:r>
        <w:rPr>
          <w:rFonts w:ascii="Calibri" w:hAnsi="Calibri"/>
          <w:color w:val="000000"/>
          <w:sz w:val="24"/>
          <w:szCs w:val="24"/>
          <w:shd w:fill="auto" w:val="clear"/>
        </w:rPr>
        <w:t xml:space="preserve"> </w:t>
      </w:r>
      <w:r>
        <w:rPr>
          <w:rFonts w:ascii="Calibri" w:hAnsi="Calibri"/>
          <w:color w:val="000000"/>
          <w:sz w:val="24"/>
          <w:szCs w:val="24"/>
          <w:shd w:fill="auto" w:val="clear"/>
        </w:rPr>
        <w:t xml:space="preserve">– </w:t>
      </w:r>
      <w:r>
        <w:rPr>
          <w:rFonts w:ascii="Calibri" w:hAnsi="Calibri"/>
          <w:color w:val="000000"/>
          <w:sz w:val="24"/>
          <w:szCs w:val="24"/>
          <w:shd w:fill="auto" w:val="clear"/>
        </w:rPr>
        <w:t>Regras aplicáveis ao instrumento  substitutivo ao contrato</w:t>
      </w:r>
    </w:p>
    <w:p>
      <w:pPr>
        <w:pStyle w:val="Nvel02"/>
        <w:numPr>
          <w:ilvl w:val="0"/>
          <w:numId w:val="0"/>
        </w:numPr>
        <w:ind w:hanging="0" w:left="0"/>
        <w:rPr>
          <w:rFonts w:ascii="Calibri" w:hAnsi="Calibri"/>
          <w:color w:val="000000"/>
          <w:sz w:val="24"/>
          <w:szCs w:val="24"/>
        </w:rPr>
      </w:pPr>
      <w:r>
        <w:rPr>
          <w:rFonts w:ascii="Calibri" w:hAnsi="Calibri"/>
          <w:color w:val="000000"/>
          <w:sz w:val="24"/>
          <w:szCs w:val="24"/>
          <w:shd w:fill="auto" w:val="clear"/>
        </w:rPr>
        <w:t xml:space="preserve">13.3  Apêndice </w:t>
      </w:r>
      <w:r>
        <w:rPr>
          <w:rFonts w:ascii="Calibri" w:hAnsi="Calibri"/>
          <w:color w:val="000000"/>
          <w:sz w:val="24"/>
          <w:szCs w:val="24"/>
          <w:shd w:fill="auto" w:val="clear"/>
        </w:rPr>
        <w:t>I</w:t>
      </w:r>
      <w:r>
        <w:rPr>
          <w:rFonts w:ascii="Calibri" w:hAnsi="Calibri"/>
          <w:color w:val="000000"/>
          <w:sz w:val="24"/>
          <w:szCs w:val="24"/>
          <w:shd w:fill="auto" w:val="clear"/>
        </w:rPr>
        <w:t>II</w:t>
      </w:r>
      <w:r>
        <w:rPr>
          <w:rFonts w:ascii="Calibri" w:hAnsi="Calibri"/>
          <w:color w:val="000000"/>
          <w:sz w:val="24"/>
          <w:szCs w:val="24"/>
          <w:shd w:fill="auto" w:val="clear"/>
        </w:rPr>
        <w:t xml:space="preserve"> </w:t>
      </w:r>
      <w:r>
        <w:rPr>
          <w:rFonts w:ascii="Calibri" w:hAnsi="Calibri"/>
          <w:color w:val="000000"/>
          <w:sz w:val="24"/>
          <w:szCs w:val="24"/>
          <w:shd w:fill="auto" w:val="clear"/>
        </w:rPr>
        <w:t xml:space="preserve">– </w:t>
      </w:r>
      <w:r>
        <w:rPr>
          <w:rFonts w:ascii="Calibri" w:hAnsi="Calibri"/>
          <w:color w:val="000000"/>
          <w:sz w:val="24"/>
          <w:szCs w:val="24"/>
          <w:shd w:fill="auto" w:val="clear"/>
        </w:rPr>
        <w:t>Termo de Ciência e concordância</w:t>
      </w:r>
    </w:p>
    <w:p>
      <w:pPr>
        <w:pStyle w:val="Normal"/>
        <w:spacing w:lineRule="auto" w:line="312" w:before="0" w:after="288"/>
        <w:jc w:val="right"/>
        <w:rPr>
          <w:rFonts w:eastAsia="Arial" w:cs="Arial"/>
        </w:rPr>
      </w:pPr>
      <w:r>
        <w:rPr>
          <w:rFonts w:cs="Calibri" w:ascii="Calibri" w:hAnsi="Calibri"/>
          <w:color w:val="000000"/>
          <w:sz w:val="24"/>
          <w:szCs w:val="24"/>
        </w:rPr>
      </w:r>
    </w:p>
    <w:p>
      <w:pPr>
        <w:pStyle w:val="Normal"/>
        <w:spacing w:lineRule="auto" w:line="312" w:before="0" w:after="288"/>
        <w:jc w:val="right"/>
        <w:rPr>
          <w:rFonts w:ascii="Calibri" w:hAnsi="Calibri" w:cs="Calibri"/>
          <w:color w:val="000000"/>
          <w:sz w:val="24"/>
          <w:szCs w:val="24"/>
        </w:rPr>
      </w:pPr>
      <w:r>
        <w:rPr>
          <w:rFonts w:eastAsia="Arial" w:cs="Arial" w:ascii="Calibri" w:hAnsi="Calibri"/>
          <w:color w:val="000000"/>
          <w:sz w:val="24"/>
          <w:szCs w:val="24"/>
        </w:rPr>
        <w:t xml:space="preserve">Rio de Janeiro – </w:t>
      </w:r>
      <w:r>
        <w:rPr>
          <w:rFonts w:eastAsia="Arial" w:cs="Arial" w:ascii="Calibri" w:hAnsi="Calibri"/>
          <w:color w:val="000000"/>
          <w:sz w:val="24"/>
          <w:szCs w:val="24"/>
        </w:rPr>
        <w:t xml:space="preserve">RJ, </w:t>
      </w:r>
      <w:r>
        <w:rPr>
          <w:rFonts w:eastAsia="Arial" w:cs="Arial" w:ascii="Calibri" w:hAnsi="Calibri"/>
          <w:color w:val="000000"/>
          <w:sz w:val="24"/>
          <w:szCs w:val="24"/>
        </w:rPr>
        <w:t>em</w:t>
      </w:r>
      <w:r>
        <w:rPr>
          <w:rFonts w:eastAsia="Arial" w:cs="Arial" w:ascii="Calibri" w:hAnsi="Calibri"/>
          <w:color w:val="000000"/>
          <w:sz w:val="24"/>
          <w:szCs w:val="24"/>
        </w:rPr>
        <w:t xml:space="preserve">         de                       de 202</w:t>
      </w:r>
      <w:r>
        <w:rPr>
          <w:rFonts w:eastAsia="Arial" w:cs="Arial" w:ascii="Calibri" w:hAnsi="Calibri"/>
          <w:color w:val="000000"/>
          <w:sz w:val="24"/>
          <w:szCs w:val="24"/>
        </w:rPr>
        <w:t>6</w:t>
      </w:r>
      <w:r>
        <w:rPr>
          <w:rFonts w:eastAsia="Arial" w:cs="Arial" w:ascii="Calibri" w:hAnsi="Calibri"/>
          <w:color w:val="000000"/>
          <w:sz w:val="24"/>
          <w:szCs w:val="24"/>
        </w:rPr>
        <w:t>.</w:t>
      </w:r>
    </w:p>
    <w:p>
      <w:pPr>
        <w:pStyle w:val="Normal"/>
        <w:ind w:firstLine="709"/>
        <w:jc w:val="center"/>
        <w:rPr>
          <w:rFonts w:ascii="Calibri" w:hAnsi="Calibri" w:cs="Calibri"/>
          <w:sz w:val="24"/>
          <w:szCs w:val="24"/>
        </w:rPr>
      </w:pPr>
      <w:r>
        <w:rPr>
          <w:rFonts w:cs="Calibri" w:ascii="Calibri" w:hAnsi="Calibri"/>
          <w:sz w:val="24"/>
          <w:szCs w:val="24"/>
        </w:rPr>
      </w:r>
    </w:p>
    <w:p>
      <w:pPr>
        <w:pStyle w:val="Normal"/>
        <w:ind w:firstLine="709"/>
        <w:jc w:val="center"/>
        <w:rPr>
          <w:rFonts w:ascii="Calibri" w:hAnsi="Calibri"/>
          <w:sz w:val="24"/>
          <w:szCs w:val="24"/>
        </w:rPr>
      </w:pPr>
      <w:r>
        <w:rPr>
          <w:rFonts w:cs="Calibri" w:ascii="Calibri" w:hAnsi="Calibri"/>
          <w:color w:val="000000"/>
          <w:sz w:val="24"/>
          <w:szCs w:val="24"/>
        </w:rPr>
        <w:t>PABLO BERG BRUM</w:t>
      </w:r>
    </w:p>
    <w:p>
      <w:pPr>
        <w:pStyle w:val="Normal"/>
        <w:ind w:firstLine="709"/>
        <w:jc w:val="center"/>
        <w:rPr>
          <w:rFonts w:ascii="Calibri" w:hAnsi="Calibri"/>
          <w:sz w:val="24"/>
          <w:szCs w:val="24"/>
        </w:rPr>
      </w:pPr>
      <w:r>
        <w:rPr>
          <w:rFonts w:cs="Calibri" w:ascii="Calibri" w:hAnsi="Calibri"/>
          <w:color w:val="000000"/>
          <w:sz w:val="24"/>
          <w:szCs w:val="24"/>
        </w:rPr>
        <w:t>Capitão de Corveta (IM)</w:t>
      </w:r>
    </w:p>
    <w:p>
      <w:pPr>
        <w:pStyle w:val="Normal"/>
        <w:ind w:firstLine="709"/>
        <w:jc w:val="center"/>
        <w:rPr>
          <w:rFonts w:ascii="Calibri" w:hAnsi="Calibri"/>
          <w:sz w:val="24"/>
          <w:szCs w:val="24"/>
        </w:rPr>
      </w:pPr>
      <w:r>
        <w:rPr>
          <w:rFonts w:cs="Calibri" w:ascii="Calibri" w:hAnsi="Calibri"/>
          <w:color w:val="000000"/>
          <w:sz w:val="24"/>
          <w:szCs w:val="24"/>
        </w:rPr>
        <w:t>Membro da equipe de planejamento</w:t>
      </w:r>
    </w:p>
    <w:p>
      <w:pPr>
        <w:pStyle w:val="Normal"/>
        <w:ind w:firstLine="709"/>
        <w:jc w:val="center"/>
        <w:rPr>
          <w:rFonts w:ascii="Calibri" w:hAnsi="Calibri" w:cs="Calibri"/>
          <w:color w:val="FF0000"/>
          <w:sz w:val="24"/>
          <w:szCs w:val="24"/>
        </w:rPr>
      </w:pPr>
      <w:r>
        <w:rPr>
          <w:rFonts w:cs="Calibri" w:ascii="Calibri" w:hAnsi="Calibri"/>
          <w:color w:val="FF0000"/>
          <w:sz w:val="24"/>
          <w:szCs w:val="24"/>
        </w:rPr>
      </w:r>
    </w:p>
    <w:p>
      <w:pPr>
        <w:pStyle w:val="Normal"/>
        <w:ind w:firstLine="709"/>
        <w:jc w:val="left"/>
        <w:rPr>
          <w:rFonts w:ascii="Calibri" w:hAnsi="Calibri"/>
          <w:sz w:val="24"/>
          <w:szCs w:val="24"/>
        </w:rPr>
      </w:pPr>
      <w:r>
        <w:rPr>
          <w:rFonts w:ascii="Calibri" w:hAnsi="Calibri"/>
          <w:b/>
          <w:color w:val="000000"/>
          <w:sz w:val="24"/>
          <w:szCs w:val="24"/>
          <w:lang w:eastAsia="en-US"/>
        </w:rPr>
        <w:t>APROVO:</w:t>
      </w:r>
    </w:p>
    <w:p>
      <w:pPr>
        <w:pStyle w:val="Normal"/>
        <w:ind w:firstLine="709"/>
        <w:jc w:val="center"/>
        <w:rPr>
          <w:rFonts w:ascii="Calibri" w:hAnsi="Calibri"/>
          <w:b/>
          <w:color w:val="FF0000"/>
          <w:sz w:val="24"/>
          <w:szCs w:val="24"/>
          <w:lang w:eastAsia="en-US"/>
        </w:rPr>
      </w:pPr>
      <w:r>
        <w:rPr>
          <w:rFonts w:ascii="Calibri" w:hAnsi="Calibri"/>
          <w:b/>
          <w:color w:val="FF0000"/>
          <w:sz w:val="24"/>
          <w:szCs w:val="24"/>
          <w:lang w:eastAsia="en-US"/>
        </w:rPr>
      </w:r>
    </w:p>
    <w:p>
      <w:pPr>
        <w:pStyle w:val="Normal"/>
        <w:ind w:firstLine="709"/>
        <w:jc w:val="center"/>
        <w:rPr>
          <w:rFonts w:ascii="Calibri" w:hAnsi="Calibri"/>
          <w:b/>
          <w:color w:val="FF0000"/>
          <w:sz w:val="24"/>
          <w:szCs w:val="24"/>
          <w:lang w:eastAsia="en-US"/>
        </w:rPr>
      </w:pPr>
      <w:r>
        <w:rPr>
          <w:rFonts w:ascii="Calibri" w:hAnsi="Calibri"/>
          <w:b/>
          <w:color w:val="FF0000"/>
          <w:sz w:val="24"/>
          <w:szCs w:val="24"/>
          <w:lang w:eastAsia="en-US"/>
        </w:rPr>
      </w:r>
    </w:p>
    <w:p>
      <w:pPr>
        <w:pStyle w:val="Normal"/>
        <w:ind w:firstLine="709"/>
        <w:jc w:val="center"/>
        <w:rPr>
          <w:rFonts w:ascii="Calibri" w:hAnsi="Calibri"/>
          <w:b/>
          <w:color w:val="FF0000"/>
          <w:sz w:val="24"/>
          <w:szCs w:val="24"/>
          <w:lang w:eastAsia="en-US"/>
        </w:rPr>
      </w:pPr>
      <w:r>
        <w:rPr>
          <w:rFonts w:ascii="Calibri" w:hAnsi="Calibri"/>
          <w:b/>
          <w:color w:val="FF0000"/>
          <w:sz w:val="24"/>
          <w:szCs w:val="24"/>
          <w:lang w:eastAsia="en-US"/>
        </w:rPr>
      </w:r>
    </w:p>
    <w:p>
      <w:pPr>
        <w:pStyle w:val="Normal"/>
        <w:jc w:val="center"/>
        <w:rPr>
          <w:rFonts w:ascii="Calibri" w:hAnsi="Calibri"/>
          <w:b w:val="false"/>
          <w:bCs w:val="false"/>
          <w:sz w:val="24"/>
          <w:szCs w:val="24"/>
        </w:rPr>
      </w:pPr>
      <w:r>
        <w:rPr>
          <w:rFonts w:cs="Calibri" w:ascii="Calibri" w:hAnsi="Calibri"/>
          <w:b w:val="false"/>
          <w:bCs w:val="false"/>
          <w:i w:val="false"/>
          <w:iCs w:val="false"/>
          <w:color w:val="000000"/>
          <w:sz w:val="24"/>
          <w:szCs w:val="24"/>
          <w:shd w:fill="auto" w:val="clear"/>
          <w:lang w:eastAsia="en-US"/>
        </w:rPr>
        <w:t>ARMANDO DA SILVA COSTA NETO</w:t>
      </w:r>
    </w:p>
    <w:p>
      <w:pPr>
        <w:pStyle w:val="Normal"/>
        <w:jc w:val="center"/>
        <w:rPr>
          <w:rFonts w:ascii="Calibri" w:hAnsi="Calibri"/>
          <w:sz w:val="24"/>
          <w:szCs w:val="24"/>
        </w:rPr>
      </w:pPr>
      <w:r>
        <w:rPr>
          <w:rFonts w:cs="Calibri" w:ascii="Calibri" w:hAnsi="Calibri"/>
          <w:color w:val="000000"/>
          <w:sz w:val="24"/>
          <w:szCs w:val="24"/>
        </w:rPr>
        <w:t>Capitão de Mar e Guerra (IM)</w:t>
      </w:r>
    </w:p>
    <w:p>
      <w:pPr>
        <w:pStyle w:val="Normal"/>
        <w:jc w:val="center"/>
        <w:rPr>
          <w:rFonts w:ascii="Calibri" w:hAnsi="Calibri"/>
          <w:sz w:val="24"/>
          <w:szCs w:val="24"/>
        </w:rPr>
      </w:pPr>
      <w:r>
        <w:rPr>
          <w:rFonts w:ascii="Calibri" w:hAnsi="Calibri"/>
          <w:color w:val="000000"/>
          <w:sz w:val="24"/>
          <w:szCs w:val="24"/>
        </w:rPr>
        <w:t>Ordenador de Despesas</w:t>
      </w:r>
      <w:r>
        <w:rPr>
          <w:rFonts w:eastAsia="Arial" w:cs="Arial" w:ascii="Calibri" w:hAnsi="Calibri"/>
          <w:color w:val="FF0000"/>
          <w:sz w:val="24"/>
          <w:szCs w:val="24"/>
        </w:rPr>
        <w:t xml:space="preserve"> </w:t>
      </w:r>
      <w:r>
        <w:br w:type="page"/>
      </w:r>
    </w:p>
    <w:p>
      <w:pPr>
        <w:pStyle w:val="Normal"/>
        <w:numPr>
          <w:ilvl w:val="0"/>
          <w:numId w:val="0"/>
        </w:numPr>
        <w:spacing w:before="0" w:after="0"/>
        <w:ind w:hanging="0" w:left="357"/>
        <w:jc w:val="center"/>
        <w:outlineLvl w:val="0"/>
        <w:rPr>
          <w:rFonts w:ascii="Calibri" w:hAnsi="Calibri"/>
          <w:b/>
          <w:bCs/>
          <w:sz w:val="24"/>
          <w:szCs w:val="24"/>
        </w:rPr>
      </w:pPr>
      <w:r>
        <w:rPr>
          <w:rFonts w:ascii="Calibri" w:hAnsi="Calibri"/>
          <w:b/>
          <w:bCs/>
          <w:sz w:val="24"/>
          <w:szCs w:val="24"/>
        </w:rPr>
        <w:t xml:space="preserve">Apêndice </w:t>
      </w:r>
      <w:r>
        <w:rPr>
          <w:rFonts w:ascii="Calibri" w:hAnsi="Calibri"/>
          <w:b/>
          <w:bCs/>
          <w:sz w:val="24"/>
          <w:szCs w:val="24"/>
        </w:rPr>
        <w:t>II</w:t>
      </w:r>
    </w:p>
    <w:p>
      <w:pPr>
        <w:pStyle w:val="Normal"/>
        <w:spacing w:before="0" w:after="360"/>
        <w:ind w:hanging="0" w:left="357"/>
        <w:jc w:val="center"/>
        <w:rPr>
          <w:rFonts w:ascii="Calibri" w:hAnsi="Calibri"/>
          <w:sz w:val="24"/>
          <w:szCs w:val="24"/>
        </w:rPr>
      </w:pPr>
      <w:r>
        <w:rPr>
          <w:rFonts w:ascii="Calibri" w:hAnsi="Calibri"/>
          <w:b/>
          <w:color w:themeColor="text1" w:val="000000"/>
          <w:sz w:val="24"/>
          <w:szCs w:val="24"/>
        </w:rPr>
        <w:t>Regras aplicáveis ao instrumento substitutivo ao contrato</w:t>
      </w:r>
    </w:p>
    <w:p>
      <w:pPr>
        <w:pStyle w:val="Normal"/>
        <w:ind w:hanging="0" w:left="357"/>
        <w:jc w:val="center"/>
        <w:rPr>
          <w:rFonts w:ascii="Calibri" w:hAnsi="Calibri"/>
          <w:color w:val="000000"/>
          <w:sz w:val="24"/>
          <w:szCs w:val="24"/>
        </w:rPr>
      </w:pPr>
      <w:r>
        <w:rPr>
          <w:rFonts w:ascii="Calibri" w:hAnsi="Calibri"/>
          <w:b/>
          <w:i/>
          <w:iCs/>
          <w:color w:val="000000"/>
          <w:sz w:val="24"/>
          <w:szCs w:val="24"/>
        </w:rPr>
        <w:t>(Contratações de pequeno valor - art. 95, inciso I, da Lei n. 14.133/2021, Orientação Normativa nº 84, de 17 de maio de 2024)</w:t>
      </w:r>
    </w:p>
    <w:p>
      <w:pPr>
        <w:pStyle w:val="Nivel01"/>
        <w:numPr>
          <w:ilvl w:val="0"/>
          <w:numId w:val="155"/>
        </w:numPr>
        <w:ind w:hanging="0" w:left="0"/>
        <w:rPr>
          <w:rFonts w:ascii="Calibri" w:hAnsi="Calibri"/>
          <w:sz w:val="24"/>
          <w:szCs w:val="24"/>
        </w:rPr>
      </w:pPr>
      <w:bookmarkStart w:id="28" w:name="_Hlk175669327"/>
      <w:r>
        <w:rPr>
          <w:rFonts w:ascii="Calibri" w:hAnsi="Calibri"/>
          <w:sz w:val="24"/>
          <w:szCs w:val="24"/>
        </w:rPr>
        <w:t>FORMALIZAÇÃO DA CONTRATAÇÃO</w:t>
      </w:r>
    </w:p>
    <w:p>
      <w:pPr>
        <w:pStyle w:val="Nvel02"/>
        <w:numPr>
          <w:ilvl w:val="1"/>
          <w:numId w:val="3"/>
        </w:numPr>
        <w:ind w:hanging="0" w:left="0"/>
        <w:rPr>
          <w:rFonts w:ascii="Calibri" w:hAnsi="Calibri"/>
          <w:sz w:val="24"/>
          <w:szCs w:val="24"/>
        </w:rPr>
      </w:pPr>
      <w:r>
        <w:rPr>
          <w:sz w:val="24"/>
          <w:szCs w:val="24"/>
        </w:rPr>
        <w:t>O adjudicatário ter</w:t>
      </w:r>
      <w:r>
        <w:rPr>
          <w:color w:val="000000"/>
          <w:sz w:val="24"/>
          <w:szCs w:val="24"/>
        </w:rPr>
        <w:t xml:space="preserve">á o </w:t>
      </w:r>
      <w:r>
        <w:rPr>
          <w:i/>
          <w:color w:val="000000"/>
          <w:sz w:val="24"/>
          <w:szCs w:val="24"/>
        </w:rPr>
        <w:t xml:space="preserve">prazo de 02 (dois) dias, </w:t>
      </w:r>
      <w:r>
        <w:rPr>
          <w:color w:val="000000"/>
          <w:sz w:val="24"/>
          <w:szCs w:val="24"/>
        </w:rPr>
        <w:t xml:space="preserve">contado a partir da data de sua convocação, para aceitar o instrumento equivalente ao contrato </w:t>
      </w:r>
      <w:r>
        <w:rPr>
          <w:i/>
          <w:color w:val="000000"/>
          <w:sz w:val="24"/>
          <w:szCs w:val="24"/>
        </w:rPr>
        <w:t>Nota de Empenho</w:t>
      </w:r>
      <w:r>
        <w:rPr>
          <w:color w:val="000000"/>
          <w:sz w:val="24"/>
          <w:szCs w:val="24"/>
        </w:rPr>
        <w:t>, sob pena de decair do direito à contratação, sem prejuízo das sanções previstas.</w:t>
      </w:r>
      <w:bookmarkEnd w:id="28"/>
    </w:p>
    <w:p>
      <w:pPr>
        <w:pStyle w:val="Nvel02"/>
        <w:numPr>
          <w:ilvl w:val="1"/>
          <w:numId w:val="3"/>
        </w:numPr>
        <w:ind w:hanging="0" w:left="0"/>
        <w:rPr>
          <w:rFonts w:ascii="Calibri" w:hAnsi="Calibri"/>
          <w:sz w:val="24"/>
          <w:szCs w:val="24"/>
        </w:rPr>
      </w:pPr>
      <w:r>
        <w:rPr>
          <w:sz w:val="24"/>
          <w:szCs w:val="24"/>
        </w:rPr>
        <w:t>O prazo poderá ser prorrogado, por igual período, por solicitação justificada do adjudicatário e aceita pela Administração.</w:t>
      </w:r>
    </w:p>
    <w:p>
      <w:pPr>
        <w:pStyle w:val="Nvel02"/>
        <w:numPr>
          <w:ilvl w:val="1"/>
          <w:numId w:val="3"/>
        </w:numPr>
        <w:ind w:hanging="0" w:left="0"/>
        <w:rPr>
          <w:rFonts w:ascii="Calibri" w:hAnsi="Calibri"/>
          <w:sz w:val="24"/>
          <w:szCs w:val="24"/>
        </w:rPr>
      </w:pPr>
      <w:r>
        <w:rPr>
          <w:sz w:val="24"/>
          <w:szCs w:val="24"/>
        </w:rPr>
        <w:t>O aceite do instrumento equivalente pelo adjudicatário implica no reconhecimento de que:</w:t>
      </w:r>
    </w:p>
    <w:p>
      <w:pPr>
        <w:pStyle w:val="Nivel3"/>
        <w:numPr>
          <w:ilvl w:val="2"/>
          <w:numId w:val="156"/>
        </w:numPr>
        <w:ind w:hanging="0" w:left="284"/>
        <w:rPr>
          <w:rFonts w:ascii="Calibri" w:hAnsi="Calibri"/>
          <w:sz w:val="24"/>
          <w:szCs w:val="24"/>
        </w:rPr>
      </w:pPr>
      <w:r>
        <w:rPr>
          <w:rFonts w:ascii="Calibri" w:hAnsi="Calibri"/>
          <w:sz w:val="24"/>
          <w:szCs w:val="24"/>
        </w:rPr>
        <w:t>referido instrumento substitui o termo de contrato, sendo-lhe aplicáveis as disposições da Lei nº 14.133/2021;</w:t>
      </w:r>
    </w:p>
    <w:p>
      <w:pPr>
        <w:pStyle w:val="Nivel3"/>
        <w:numPr>
          <w:ilvl w:val="2"/>
          <w:numId w:val="157"/>
        </w:numPr>
        <w:ind w:hanging="0" w:left="284"/>
        <w:rPr>
          <w:rFonts w:ascii="Calibri" w:hAnsi="Calibri"/>
          <w:sz w:val="24"/>
          <w:szCs w:val="24"/>
        </w:rPr>
      </w:pPr>
      <w:r>
        <w:rPr>
          <w:rFonts w:ascii="Calibri" w:hAnsi="Calibri"/>
          <w:sz w:val="24"/>
          <w:szCs w:val="24"/>
        </w:rPr>
        <w:t>o C</w:t>
      </w:r>
      <w:r>
        <w:rPr>
          <w:rFonts w:ascii="Calibri" w:hAnsi="Calibri"/>
          <w:color w:val="000000"/>
          <w:sz w:val="24"/>
          <w:szCs w:val="24"/>
        </w:rPr>
        <w:t xml:space="preserve">ontratado se vincula à sua proposta e às previsões contidas no </w:t>
      </w:r>
      <w:r>
        <w:rPr>
          <w:rFonts w:ascii="Calibri" w:hAnsi="Calibri"/>
          <w:i/>
          <w:iCs/>
          <w:color w:val="000000"/>
          <w:sz w:val="24"/>
          <w:szCs w:val="24"/>
          <w:highlight w:val="yellow"/>
        </w:rPr>
        <w:t>Edital</w:t>
      </w:r>
      <w:r>
        <w:rPr>
          <w:rFonts w:ascii="Calibri" w:hAnsi="Calibri"/>
          <w:i/>
          <w:iCs/>
          <w:color w:val="000000"/>
          <w:sz w:val="24"/>
          <w:szCs w:val="24"/>
        </w:rPr>
        <w:t xml:space="preserve">, </w:t>
      </w:r>
      <w:r>
        <w:rPr>
          <w:rFonts w:ascii="Calibri" w:hAnsi="Calibri"/>
          <w:color w:val="000000"/>
          <w:sz w:val="24"/>
          <w:szCs w:val="24"/>
        </w:rPr>
        <w:t>no Termo de Referência e em seus anexos, conforme Termo de Ciência e Concordância (</w:t>
      </w:r>
      <w:r>
        <w:rPr>
          <w:rFonts w:ascii="Calibri" w:hAnsi="Calibri"/>
          <w:color w:val="000000"/>
          <w:sz w:val="24"/>
          <w:szCs w:val="24"/>
        </w:rPr>
        <w:t>Apêndice</w:t>
      </w:r>
      <w:r>
        <w:rPr>
          <w:rFonts w:ascii="Calibri" w:hAnsi="Calibri"/>
          <w:color w:val="000000"/>
          <w:sz w:val="24"/>
          <w:szCs w:val="24"/>
        </w:rPr>
        <w:t xml:space="preserve"> </w:t>
      </w:r>
      <w:r>
        <w:rPr>
          <w:rFonts w:ascii="Calibri" w:hAnsi="Calibri"/>
          <w:color w:val="000000"/>
          <w:sz w:val="24"/>
          <w:szCs w:val="24"/>
        </w:rPr>
        <w:t>I</w:t>
      </w:r>
      <w:r>
        <w:rPr>
          <w:rFonts w:ascii="Calibri" w:hAnsi="Calibri"/>
          <w:color w:val="000000"/>
          <w:sz w:val="24"/>
          <w:szCs w:val="24"/>
        </w:rPr>
        <w:t>II).</w:t>
      </w:r>
    </w:p>
    <w:p>
      <w:pPr>
        <w:pStyle w:val="Nivel01"/>
        <w:numPr>
          <w:ilvl w:val="0"/>
          <w:numId w:val="3"/>
        </w:numPr>
        <w:ind w:hanging="357" w:left="357"/>
        <w:rPr>
          <w:rFonts w:ascii="Calibri" w:hAnsi="Calibri"/>
          <w:color w:val="000000"/>
          <w:sz w:val="24"/>
          <w:szCs w:val="24"/>
        </w:rPr>
      </w:pPr>
      <w:r>
        <w:rPr>
          <w:rFonts w:ascii="Calibri" w:hAnsi="Calibri"/>
          <w:color w:val="000000"/>
          <w:sz w:val="24"/>
          <w:szCs w:val="24"/>
        </w:rPr>
        <w:t>VIGÊNCIA E PRORROGAÇÃO</w:t>
      </w:r>
    </w:p>
    <w:p>
      <w:pPr>
        <w:pStyle w:val="Nvel2-Opcional"/>
        <w:numPr>
          <w:ilvl w:val="1"/>
          <w:numId w:val="3"/>
        </w:numPr>
        <w:rPr>
          <w:rFonts w:ascii="Calibri" w:hAnsi="Calibri"/>
          <w:color w:val="000000"/>
          <w:sz w:val="24"/>
          <w:szCs w:val="24"/>
        </w:rPr>
      </w:pPr>
      <w:r>
        <w:rPr>
          <w:color w:val="000000"/>
          <w:sz w:val="24"/>
          <w:szCs w:val="24"/>
        </w:rPr>
        <w:t>O prazo de vigência da contratação é aquele estabelecido no Termo de Referência, na forma do artigo 105 da Lei n° 14.133, de 2021.</w:t>
      </w:r>
    </w:p>
    <w:p>
      <w:pPr>
        <w:pStyle w:val="Nvel2-Opcional"/>
        <w:numPr>
          <w:ilvl w:val="1"/>
          <w:numId w:val="3"/>
        </w:numPr>
        <w:rPr>
          <w:sz w:val="24"/>
          <w:szCs w:val="24"/>
        </w:rPr>
      </w:pPr>
      <w:r>
        <w:rPr>
          <w:color w:val="000000"/>
          <w:sz w:val="24"/>
          <w:szCs w:val="24"/>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w:t>
      </w:r>
      <w:commentRangeStart w:id="48"/>
      <w:r>
        <w:rPr>
          <w:color w:val="000000"/>
          <w:sz w:val="24"/>
          <w:szCs w:val="24"/>
        </w:rPr>
        <w:t>Cadin</w:t>
      </w:r>
      <w:r>
        <w:rPr>
          <w:sz w:val="24"/>
          <w:szCs w:val="24"/>
        </w:rPr>
      </w:r>
      <w:commentRangeEnd w:id="48"/>
      <w:r>
        <w:commentReference w:id="48"/>
      </w:r>
      <w:r>
        <w:rPr>
          <w:color w:val="000000"/>
          <w:sz w:val="24"/>
          <w:szCs w:val="24"/>
        </w:rPr>
        <w:t>).</w:t>
      </w:r>
    </w:p>
    <w:p>
      <w:pPr>
        <w:pStyle w:val="Nvel2-Opcional"/>
        <w:numPr>
          <w:ilvl w:val="1"/>
          <w:numId w:val="3"/>
        </w:numPr>
        <w:rPr>
          <w:sz w:val="24"/>
          <w:szCs w:val="24"/>
        </w:rPr>
      </w:pPr>
      <w:r>
        <w:rPr>
          <w:color w:val="000000"/>
          <w:sz w:val="24"/>
          <w:szCs w:val="24"/>
        </w:rPr>
        <w:t>O Contratado não tem direito subjetivo à prorrogação contratual.</w:t>
      </w:r>
    </w:p>
    <w:p>
      <w:pPr>
        <w:pStyle w:val="Nvel2-Opcional"/>
        <w:numPr>
          <w:ilvl w:val="1"/>
          <w:numId w:val="3"/>
        </w:numPr>
        <w:rPr>
          <w:sz w:val="24"/>
          <w:szCs w:val="24"/>
        </w:rPr>
      </w:pPr>
      <w:r>
        <w:rPr>
          <w:color w:val="000000"/>
          <w:sz w:val="24"/>
          <w:szCs w:val="24"/>
        </w:rPr>
        <w:t>A prorrogação contratual deverá ser promovida mediante celebração de termo aditivo.</w:t>
      </w:r>
    </w:p>
    <w:p>
      <w:pPr>
        <w:pStyle w:val="Nvel2-Opcional"/>
        <w:numPr>
          <w:ilvl w:val="1"/>
          <w:numId w:val="3"/>
        </w:numPr>
        <w:rPr>
          <w:sz w:val="24"/>
          <w:szCs w:val="24"/>
        </w:rPr>
      </w:pPr>
      <w:r>
        <w:rPr>
          <w:color w:val="000000"/>
          <w:sz w:val="24"/>
          <w:szCs w:val="24"/>
        </w:rPr>
        <w:t>A contratação não poderá ser prorrogada quando o Contratado tiver sido penalizado nas sanções de declaração de inidoneidade ou impedimento de licitar e contratar com poder público, observadas as abrangências de aplicação.</w:t>
      </w:r>
    </w:p>
    <w:p>
      <w:pPr>
        <w:pStyle w:val="Nivel01"/>
        <w:numPr>
          <w:ilvl w:val="0"/>
          <w:numId w:val="3"/>
        </w:numPr>
        <w:ind w:hanging="357" w:left="357"/>
        <w:rPr>
          <w:rFonts w:ascii="Calibri" w:hAnsi="Calibri"/>
          <w:sz w:val="24"/>
          <w:szCs w:val="24"/>
        </w:rPr>
      </w:pPr>
      <w:r>
        <w:rPr>
          <w:rFonts w:ascii="Calibri" w:hAnsi="Calibri"/>
          <w:sz w:val="24"/>
          <w:szCs w:val="24"/>
        </w:rPr>
        <w:t xml:space="preserve">OBRIGAÇÕES DO CONTRATANTE </w:t>
      </w:r>
    </w:p>
    <w:p>
      <w:pPr>
        <w:pStyle w:val="Nvel02"/>
        <w:numPr>
          <w:ilvl w:val="1"/>
          <w:numId w:val="3"/>
        </w:numPr>
        <w:ind w:hanging="0" w:left="0"/>
        <w:rPr>
          <w:rFonts w:ascii="Calibri" w:hAnsi="Calibri"/>
          <w:sz w:val="24"/>
          <w:szCs w:val="24"/>
        </w:rPr>
      </w:pPr>
      <w:r>
        <w:rPr>
          <w:sz w:val="24"/>
          <w:szCs w:val="24"/>
        </w:rPr>
        <w:t>São obrigações do Contratante:</w:t>
      </w:r>
    </w:p>
    <w:p>
      <w:pPr>
        <w:pStyle w:val="Nivel3"/>
        <w:numPr>
          <w:ilvl w:val="2"/>
          <w:numId w:val="158"/>
        </w:numPr>
        <w:ind w:hanging="0" w:left="284"/>
        <w:rPr>
          <w:rFonts w:ascii="Calibri" w:hAnsi="Calibri"/>
          <w:sz w:val="24"/>
          <w:szCs w:val="24"/>
        </w:rPr>
      </w:pPr>
      <w:r>
        <w:rPr>
          <w:rFonts w:ascii="Calibri" w:hAnsi="Calibri"/>
          <w:sz w:val="24"/>
          <w:szCs w:val="24"/>
        </w:rPr>
        <w:t>Exigir o cumprimento de todas as obrigações assumidas pelo Contratado, de acordo com o Termo de Referência e seus anexos;</w:t>
      </w:r>
    </w:p>
    <w:p>
      <w:pPr>
        <w:pStyle w:val="Nivel3"/>
        <w:numPr>
          <w:ilvl w:val="2"/>
          <w:numId w:val="159"/>
        </w:numPr>
        <w:ind w:hanging="0" w:left="284"/>
        <w:rPr>
          <w:rFonts w:ascii="Calibri" w:hAnsi="Calibri"/>
          <w:sz w:val="24"/>
          <w:szCs w:val="24"/>
        </w:rPr>
      </w:pPr>
      <w:r>
        <w:rPr>
          <w:rFonts w:ascii="Calibri" w:hAnsi="Calibri"/>
          <w:sz w:val="24"/>
          <w:szCs w:val="24"/>
        </w:rPr>
        <w:t>Receber o objeto no prazo e condições estabelecidas no Termo de Referência;</w:t>
      </w:r>
    </w:p>
    <w:p>
      <w:pPr>
        <w:pStyle w:val="Nivel3"/>
        <w:numPr>
          <w:ilvl w:val="2"/>
          <w:numId w:val="160"/>
        </w:numPr>
        <w:ind w:hanging="0" w:left="284"/>
        <w:rPr>
          <w:rFonts w:ascii="Calibri" w:hAnsi="Calibri"/>
          <w:sz w:val="24"/>
          <w:szCs w:val="24"/>
        </w:rPr>
      </w:pPr>
      <w:r>
        <w:rPr>
          <w:rFonts w:ascii="Calibri" w:hAnsi="Calibri"/>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61"/>
        </w:numPr>
        <w:ind w:hanging="0" w:left="284"/>
        <w:rPr>
          <w:rFonts w:ascii="Calibri" w:hAnsi="Calibri"/>
          <w:sz w:val="24"/>
          <w:szCs w:val="24"/>
        </w:rPr>
      </w:pPr>
      <w:r>
        <w:rPr>
          <w:rFonts w:ascii="Calibri" w:hAnsi="Calibri"/>
          <w:sz w:val="24"/>
          <w:szCs w:val="24"/>
        </w:rPr>
        <w:t>Acompanhar e fiscalizar a execução contratual e o cumprimento das obrigações pelo Contratado;</w:t>
      </w:r>
    </w:p>
    <w:p>
      <w:pPr>
        <w:pStyle w:val="Nivel3"/>
        <w:numPr>
          <w:ilvl w:val="2"/>
          <w:numId w:val="162"/>
        </w:numPr>
        <w:ind w:hanging="0" w:left="284"/>
        <w:rPr>
          <w:rFonts w:ascii="Calibri" w:hAnsi="Calibri"/>
          <w:sz w:val="24"/>
          <w:szCs w:val="24"/>
        </w:rPr>
      </w:pPr>
      <w:r>
        <w:rPr>
          <w:rFonts w:ascii="Calibri" w:hAnsi="Calibri"/>
          <w:sz w:val="24"/>
          <w:szCs w:val="24"/>
        </w:rPr>
        <w:t xml:space="preserve">Efetuar o pagamento ao Contratado do valor correspondente </w:t>
      </w:r>
      <w:r>
        <w:rPr>
          <w:rFonts w:eastAsia="Arial" w:cs="Arial" w:ascii="Calibri" w:hAnsi="Calibri"/>
          <w:sz w:val="24"/>
          <w:szCs w:val="24"/>
        </w:rPr>
        <w:t>ao fornecimento</w:t>
      </w:r>
      <w:r>
        <w:rPr>
          <w:rFonts w:ascii="Calibri" w:hAnsi="Calibri"/>
          <w:sz w:val="24"/>
          <w:szCs w:val="24"/>
        </w:rPr>
        <w:t xml:space="preserve"> do objeto, no prazo, forma e condições estabelecidos no Termo de Referência</w:t>
      </w:r>
      <w:r>
        <w:rPr>
          <w:rFonts w:eastAsia="Arial" w:cs="Arial" w:ascii="Calibri" w:hAnsi="Calibri"/>
          <w:sz w:val="24"/>
          <w:szCs w:val="24"/>
        </w:rPr>
        <w:t xml:space="preserve"> e neste Anexo</w:t>
      </w:r>
      <w:r>
        <w:rPr>
          <w:rFonts w:ascii="Calibri" w:hAnsi="Calibri"/>
          <w:sz w:val="24"/>
          <w:szCs w:val="24"/>
        </w:rPr>
        <w:t>;</w:t>
      </w:r>
    </w:p>
    <w:p>
      <w:pPr>
        <w:pStyle w:val="Nivel3"/>
        <w:numPr>
          <w:ilvl w:val="2"/>
          <w:numId w:val="163"/>
        </w:numPr>
        <w:ind w:hanging="0" w:left="284"/>
        <w:rPr>
          <w:rFonts w:ascii="Calibri" w:hAnsi="Calibri"/>
          <w:sz w:val="24"/>
          <w:szCs w:val="24"/>
        </w:rPr>
      </w:pPr>
      <w:r>
        <w:rPr>
          <w:rFonts w:ascii="Calibri" w:hAnsi="Calibri"/>
          <w:sz w:val="24"/>
          <w:szCs w:val="24"/>
        </w:rPr>
        <w:t xml:space="preserve">Aplicar ao Contratado as sanções previstas na lei e no Termo de Referência; </w:t>
      </w:r>
    </w:p>
    <w:p>
      <w:pPr>
        <w:pStyle w:val="Nivel3"/>
        <w:numPr>
          <w:ilvl w:val="2"/>
          <w:numId w:val="164"/>
        </w:numPr>
        <w:ind w:hanging="0" w:left="284"/>
        <w:rPr>
          <w:rFonts w:ascii="Calibri" w:hAnsi="Calibri"/>
          <w:sz w:val="24"/>
          <w:szCs w:val="24"/>
        </w:rPr>
      </w:pPr>
      <w:r>
        <w:rPr>
          <w:rFonts w:ascii="Calibri" w:hAnsi="Calibri"/>
          <w:sz w:val="24"/>
          <w:szCs w:val="24"/>
        </w:rPr>
        <w:t>Cientificar o órgão de representação judicial da Advocacia-Geral da União para adoção das medidas cabíveis quando do descumprimento de obrigações pelo Contratado;</w:t>
      </w:r>
    </w:p>
    <w:p>
      <w:pPr>
        <w:pStyle w:val="Nivel3"/>
        <w:numPr>
          <w:ilvl w:val="2"/>
          <w:numId w:val="165"/>
        </w:numPr>
        <w:ind w:hanging="0" w:left="284"/>
        <w:rPr>
          <w:rFonts w:ascii="Calibri" w:hAnsi="Calibri"/>
          <w:sz w:val="24"/>
          <w:szCs w:val="24"/>
        </w:rPr>
      </w:pPr>
      <w:r>
        <w:rPr>
          <w:rFonts w:ascii="Calibri" w:hAnsi="Calibri"/>
          <w:sz w:val="24"/>
          <w:szCs w:val="24"/>
        </w:rPr>
        <w:t>Explicitamente emitir decisão sobre todas as solicitações e reclamações relacionadas à execução contratual, ressalvados os requerimentos manifestamente i</w:t>
      </w:r>
      <w:r>
        <w:rPr>
          <w:rFonts w:ascii="Calibri" w:hAnsi="Calibri"/>
          <w:color w:val="000000"/>
          <w:sz w:val="24"/>
          <w:szCs w:val="24"/>
        </w:rPr>
        <w:t>mpertinentes, meramente protelatórios ou de nenhum interesse para a boa execução do ajuste.</w:t>
      </w:r>
    </w:p>
    <w:p>
      <w:pPr>
        <w:pStyle w:val="Nivel4"/>
        <w:numPr>
          <w:ilvl w:val="3"/>
          <w:numId w:val="166"/>
        </w:numPr>
        <w:ind w:hanging="0" w:left="567"/>
        <w:rPr>
          <w:rFonts w:ascii="Calibri" w:hAnsi="Calibri"/>
          <w:sz w:val="24"/>
          <w:szCs w:val="24"/>
        </w:rPr>
      </w:pPr>
      <w:r>
        <w:rPr>
          <w:rFonts w:ascii="Calibri" w:hAnsi="Calibri"/>
          <w:bCs w:val="false"/>
          <w:color w:val="000000"/>
          <w:sz w:val="24"/>
          <w:szCs w:val="24"/>
        </w:rPr>
        <w:t xml:space="preserve"> </w:t>
      </w:r>
      <w:commentRangeStart w:id="49"/>
      <w:r>
        <w:rPr>
          <w:rFonts w:ascii="Calibri" w:hAnsi="Calibri"/>
          <w:bCs w:val="false"/>
          <w:color w:val="000000"/>
          <w:sz w:val="24"/>
          <w:szCs w:val="24"/>
        </w:rPr>
        <w:t>A Administração terá o prazo de</w:t>
      </w:r>
      <w:r>
        <w:rPr>
          <w:rFonts w:ascii="Calibri" w:hAnsi="Calibri"/>
          <w:bCs w:val="false"/>
          <w:i/>
          <w:color w:val="000000"/>
          <w:sz w:val="24"/>
          <w:szCs w:val="24"/>
        </w:rPr>
        <w:t xml:space="preserve"> </w:t>
      </w:r>
      <w:r>
        <w:rPr>
          <w:rFonts w:ascii="Calibri" w:hAnsi="Calibri"/>
          <w:b/>
          <w:bCs/>
          <w:i/>
          <w:color w:val="000000"/>
          <w:sz w:val="24"/>
          <w:szCs w:val="24"/>
        </w:rPr>
        <w:t>30 (trinta) dias</w:t>
      </w:r>
      <w:r>
        <w:rPr>
          <w:rFonts w:ascii="Calibri" w:hAnsi="Calibri"/>
          <w:bCs w:val="false"/>
          <w:color w:val="000000"/>
          <w:sz w:val="24"/>
          <w:szCs w:val="24"/>
        </w:rPr>
        <w:t xml:space="preserve">, a contar da data do protocolo do requerimento para decidir, admitida a prorrogação motivada, por igual período. </w:t>
      </w:r>
      <w:commentRangeEnd w:id="49"/>
      <w:r>
        <w:commentReference w:id="49"/>
      </w:r>
      <w:r>
        <w:rPr>
          <w:rFonts w:ascii="Calibri" w:hAnsi="Calibri"/>
          <w:bCs w:val="false"/>
          <w:color w:val="000000"/>
          <w:sz w:val="24"/>
          <w:szCs w:val="24"/>
        </w:rPr>
      </w:r>
    </w:p>
    <w:p>
      <w:pPr>
        <w:pStyle w:val="Nivel3"/>
        <w:numPr>
          <w:ilvl w:val="2"/>
          <w:numId w:val="167"/>
        </w:numPr>
        <w:ind w:hanging="0" w:left="284"/>
        <w:rPr>
          <w:rFonts w:ascii="Calibri" w:hAnsi="Calibri"/>
          <w:sz w:val="24"/>
          <w:szCs w:val="24"/>
        </w:rPr>
      </w:pPr>
      <w:commentRangeStart w:id="50"/>
      <w:r>
        <w:rPr>
          <w:rFonts w:ascii="Calibri" w:hAnsi="Calibri"/>
          <w:color w:val="000000"/>
          <w:sz w:val="24"/>
          <w:szCs w:val="24"/>
        </w:rPr>
        <w:t xml:space="preserve">Responder eventuais pedidos de reestabelecimento do equilíbrio econômico-financeiro feitos pelo Contratado no prazo máximo de </w:t>
      </w:r>
      <w:r>
        <w:rPr>
          <w:rFonts w:ascii="Calibri" w:hAnsi="Calibri"/>
          <w:b/>
          <w:bCs/>
          <w:color w:val="000000"/>
          <w:sz w:val="24"/>
          <w:szCs w:val="24"/>
        </w:rPr>
        <w:t>30 (trinta) dias.</w:t>
      </w:r>
      <w:commentRangeEnd w:id="50"/>
      <w:r>
        <w:commentReference w:id="50"/>
      </w:r>
      <w:r>
        <w:rPr>
          <w:rFonts w:ascii="Calibri" w:hAnsi="Calibri"/>
          <w:b/>
          <w:bCs/>
          <w:color w:val="000000"/>
          <w:sz w:val="24"/>
          <w:szCs w:val="24"/>
        </w:rPr>
      </w:r>
    </w:p>
    <w:p>
      <w:pPr>
        <w:pStyle w:val="Nvel3-Opcional"/>
        <w:numPr>
          <w:ilvl w:val="2"/>
          <w:numId w:val="168"/>
        </w:numPr>
        <w:ind w:hanging="0" w:left="284"/>
        <w:rPr>
          <w:rFonts w:ascii="Calibri" w:hAnsi="Calibri"/>
          <w:sz w:val="24"/>
          <w:szCs w:val="24"/>
        </w:rPr>
      </w:pPr>
      <w:bookmarkStart w:id="29" w:name="_Hlk114499841"/>
      <w:bookmarkEnd w:id="29"/>
      <w:commentRangeStart w:id="51"/>
      <w:commentRangeStart w:id="52"/>
      <w:r>
        <w:rPr>
          <w:rFonts w:ascii="Calibri" w:hAnsi="Calibri"/>
          <w:color w:val="000000"/>
          <w:sz w:val="24"/>
          <w:szCs w:val="24"/>
        </w:rPr>
        <w:t>Notificar os emitentes das garantias quanto ao início de processo administrativo para apuração de descumprimento de cláusulas contratuais.</w:t>
      </w:r>
      <w:r>
        <w:rPr>
          <w:rFonts w:ascii="Calibri" w:hAnsi="Calibri"/>
          <w:color w:val="000000"/>
          <w:sz w:val="24"/>
          <w:szCs w:val="24"/>
        </w:rPr>
      </w:r>
      <w:commentRangeEnd w:id="52"/>
      <w:r>
        <w:commentReference w:id="52"/>
      </w:r>
      <w:commentRangeEnd w:id="51"/>
      <w:r>
        <w:commentReference w:id="51"/>
      </w:r>
      <w:r>
        <w:rPr>
          <w:rFonts w:ascii="Calibri" w:hAnsi="Calibri"/>
          <w:color w:val="000000"/>
          <w:sz w:val="24"/>
          <w:szCs w:val="24"/>
        </w:rPr>
      </w:r>
    </w:p>
    <w:p>
      <w:pPr>
        <w:pStyle w:val="Nvel02"/>
        <w:numPr>
          <w:ilvl w:val="1"/>
          <w:numId w:val="3"/>
        </w:numPr>
        <w:ind w:hanging="0" w:left="0"/>
        <w:rPr>
          <w:rFonts w:ascii="Calibri" w:hAnsi="Calibri"/>
          <w:sz w:val="24"/>
          <w:szCs w:val="24"/>
        </w:rPr>
      </w:pPr>
      <w:r>
        <w:rPr>
          <w:color w:val="000000"/>
          <w:sz w:val="24"/>
          <w:szCs w:val="24"/>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pPr>
        <w:pStyle w:val="Nivel01"/>
        <w:numPr>
          <w:ilvl w:val="0"/>
          <w:numId w:val="3"/>
        </w:numPr>
        <w:ind w:hanging="357" w:left="357"/>
        <w:rPr>
          <w:rFonts w:ascii="Calibri" w:hAnsi="Calibri"/>
          <w:sz w:val="24"/>
          <w:szCs w:val="24"/>
        </w:rPr>
      </w:pPr>
      <w:commentRangeStart w:id="53"/>
      <w:r>
        <w:rPr>
          <w:rFonts w:ascii="Calibri" w:hAnsi="Calibri"/>
          <w:color w:val="000000"/>
          <w:sz w:val="24"/>
          <w:szCs w:val="24"/>
        </w:rPr>
        <w:t>OBRIGAÇÕES DO CONTRATADO</w:t>
      </w:r>
      <w:commentRangeEnd w:id="53"/>
      <w:r>
        <w:commentReference w:id="53"/>
      </w:r>
      <w:r>
        <w:rPr>
          <w:rFonts w:ascii="Calibri" w:hAnsi="Calibri"/>
          <w:color w:val="000000"/>
          <w:sz w:val="24"/>
          <w:szCs w:val="24"/>
        </w:rPr>
      </w:r>
    </w:p>
    <w:p>
      <w:pPr>
        <w:pStyle w:val="Nvel02"/>
        <w:numPr>
          <w:ilvl w:val="1"/>
          <w:numId w:val="3"/>
        </w:numPr>
        <w:ind w:hanging="0" w:left="0"/>
        <w:rPr>
          <w:rFonts w:ascii="Calibri" w:hAnsi="Calibri"/>
          <w:sz w:val="24"/>
          <w:szCs w:val="24"/>
        </w:rPr>
      </w:pPr>
      <w:r>
        <w:rPr>
          <w:sz w:val="24"/>
          <w:szCs w:val="24"/>
        </w:rPr>
        <w:t>O Contratado deve cumprir todas as obrigações constantes do Termo de Referência e deste Anexo, assumindo como exclusivamente seus os riscos e as despesas decorrentes da boa e perfeita execução do objeto, observando, ainda, as obrigações a seguir dispostas:</w:t>
      </w:r>
    </w:p>
    <w:p>
      <w:pPr>
        <w:pStyle w:val="Nivel3"/>
        <w:numPr>
          <w:ilvl w:val="2"/>
          <w:numId w:val="169"/>
        </w:numPr>
        <w:ind w:hanging="0" w:left="284"/>
        <w:rPr>
          <w:rFonts w:ascii="Calibri" w:hAnsi="Calibri"/>
          <w:sz w:val="24"/>
          <w:szCs w:val="24"/>
        </w:rPr>
      </w:pPr>
      <w:bookmarkStart w:id="30" w:name="_Hlk175669396"/>
      <w:r>
        <w:rPr>
          <w:rFonts w:ascii="Calibri" w:hAnsi="Calibri"/>
          <w:sz w:val="24"/>
          <w:szCs w:val="24"/>
        </w:rPr>
        <w:t xml:space="preserve">Entregar o objeto acompanhado do manual do usuário, com uma versão em </w:t>
      </w:r>
      <w:r>
        <w:rPr>
          <w:rFonts w:eastAsia="Arial" w:ascii="Calibri" w:hAnsi="Calibri"/>
          <w:sz w:val="24"/>
          <w:szCs w:val="24"/>
        </w:rPr>
        <w:t>português</w:t>
      </w:r>
      <w:bookmarkEnd w:id="30"/>
      <w:r>
        <w:rPr>
          <w:rFonts w:eastAsia="Arial" w:ascii="Calibri" w:hAnsi="Calibri"/>
          <w:sz w:val="24"/>
          <w:szCs w:val="24"/>
        </w:rPr>
        <w:t>.</w:t>
      </w:r>
    </w:p>
    <w:p>
      <w:pPr>
        <w:pStyle w:val="Nivel3"/>
        <w:numPr>
          <w:ilvl w:val="2"/>
          <w:numId w:val="170"/>
        </w:numPr>
        <w:ind w:hanging="0" w:left="284"/>
        <w:rPr>
          <w:rFonts w:ascii="Calibri" w:hAnsi="Calibri"/>
          <w:sz w:val="24"/>
          <w:szCs w:val="24"/>
        </w:rPr>
      </w:pPr>
      <w:r>
        <w:rPr>
          <w:rFonts w:ascii="Calibri" w:hAnsi="Calibri"/>
          <w:sz w:val="24"/>
          <w:szCs w:val="24"/>
        </w:rPr>
        <w:t xml:space="preserve">Responsabilizar-se pelos vícios e danos decorrentes do objeto, de acordo com o Código de </w:t>
      </w:r>
      <w:r>
        <w:rPr>
          <w:rFonts w:eastAsia="MS Mincho" w:ascii="Calibri" w:hAnsi="Calibri"/>
          <w:sz w:val="24"/>
          <w:szCs w:val="24"/>
        </w:rPr>
        <w:t>Defesa</w:t>
      </w:r>
      <w:r>
        <w:rPr>
          <w:rFonts w:ascii="Calibri" w:hAnsi="Calibri"/>
          <w:sz w:val="24"/>
          <w:szCs w:val="24"/>
        </w:rPr>
        <w:t xml:space="preserve"> do Consumidor;</w:t>
      </w:r>
    </w:p>
    <w:p>
      <w:pPr>
        <w:pStyle w:val="Nivel3"/>
        <w:numPr>
          <w:ilvl w:val="2"/>
          <w:numId w:val="171"/>
        </w:numPr>
        <w:ind w:hanging="0" w:left="284"/>
        <w:rPr>
          <w:rFonts w:ascii="Calibri" w:hAnsi="Calibri"/>
          <w:sz w:val="24"/>
          <w:szCs w:val="24"/>
        </w:rPr>
      </w:pPr>
      <w:r>
        <w:rPr>
          <w:rFonts w:ascii="Calibri" w:hAnsi="Calibri"/>
          <w:sz w:val="24"/>
          <w:szCs w:val="24"/>
        </w:rPr>
        <w:t xml:space="preserve">Comunicar ao Contratante, no prazo máximo de 24 (vinte e quatro) horas que antecede a </w:t>
      </w:r>
      <w:r>
        <w:rPr>
          <w:rFonts w:eastAsia="MS Mincho" w:ascii="Calibri" w:hAnsi="Calibri"/>
          <w:sz w:val="24"/>
          <w:szCs w:val="24"/>
        </w:rPr>
        <w:t>data</w:t>
      </w:r>
      <w:r>
        <w:rPr>
          <w:rFonts w:ascii="Calibri" w:hAnsi="Calibri"/>
          <w:sz w:val="24"/>
          <w:szCs w:val="24"/>
        </w:rPr>
        <w:t xml:space="preserve"> da entrega, os motivos que impossibilitem o cumprimento do prazo previsto, com a devida comprovação;</w:t>
      </w:r>
    </w:p>
    <w:p>
      <w:pPr>
        <w:pStyle w:val="Nivel3"/>
        <w:numPr>
          <w:ilvl w:val="2"/>
          <w:numId w:val="172"/>
        </w:numPr>
        <w:ind w:hanging="0" w:left="284"/>
        <w:rPr>
          <w:rFonts w:ascii="Calibri" w:hAnsi="Calibri"/>
          <w:sz w:val="24"/>
          <w:szCs w:val="24"/>
        </w:rPr>
      </w:pPr>
      <w:r>
        <w:rPr>
          <w:rFonts w:ascii="Calibri" w:hAnsi="Calibri"/>
          <w:sz w:val="24"/>
          <w:szCs w:val="24"/>
        </w:rPr>
        <w:t xml:space="preserve">Atender às determinações regulares emitidas pelo fiscal </w:t>
      </w:r>
      <w:r>
        <w:rPr>
          <w:rFonts w:eastAsia="Arial" w:cs="Arial" w:ascii="Calibri" w:hAnsi="Calibri"/>
          <w:sz w:val="24"/>
          <w:szCs w:val="24"/>
        </w:rPr>
        <w:t>ou gestor contratuais</w:t>
      </w:r>
      <w:r>
        <w:rPr>
          <w:rFonts w:ascii="Calibri" w:hAnsi="Calibri"/>
          <w:sz w:val="24"/>
          <w:szCs w:val="24"/>
        </w:rPr>
        <w:t xml:space="preserve"> ou autoridade superior e prestar todo esclarecimento ou informação por eles solicitados;</w:t>
      </w:r>
    </w:p>
    <w:p>
      <w:pPr>
        <w:pStyle w:val="Nivel3"/>
        <w:numPr>
          <w:ilvl w:val="2"/>
          <w:numId w:val="173"/>
        </w:numPr>
        <w:ind w:hanging="0" w:left="284"/>
        <w:rPr>
          <w:rFonts w:ascii="Calibri" w:hAnsi="Calibri"/>
          <w:sz w:val="24"/>
          <w:szCs w:val="24"/>
        </w:rPr>
      </w:pPr>
      <w:commentRangeStart w:id="54"/>
      <w:r>
        <w:rPr>
          <w:rFonts w:ascii="Calibri" w:hAnsi="Calibri"/>
          <w:sz w:val="24"/>
          <w:szCs w:val="24"/>
        </w:rPr>
        <w:t>Reparar, corrigir, remover, reconstruir ou substituir, às suas expensas, no total ou em parte, no prazo fixado pelo fiscal</w:t>
      </w:r>
      <w:r>
        <w:rPr>
          <w:rFonts w:eastAsia="Arial" w:cs="Arial" w:ascii="Calibri" w:hAnsi="Calibri"/>
          <w:sz w:val="24"/>
          <w:szCs w:val="24"/>
        </w:rPr>
        <w:t xml:space="preserve"> contratual</w:t>
      </w:r>
      <w:r>
        <w:rPr>
          <w:rFonts w:ascii="Calibri" w:hAnsi="Calibri"/>
          <w:sz w:val="24"/>
          <w:szCs w:val="24"/>
        </w:rPr>
        <w:t xml:space="preserve">, os </w:t>
      </w:r>
      <w:r>
        <w:rPr>
          <w:rFonts w:eastAsia="Arial" w:cs="Arial" w:ascii="Calibri" w:hAnsi="Calibri"/>
          <w:sz w:val="24"/>
          <w:szCs w:val="24"/>
        </w:rPr>
        <w:t>bens</w:t>
      </w:r>
      <w:r>
        <w:rPr>
          <w:rFonts w:ascii="Calibri" w:hAnsi="Calibri"/>
          <w:sz w:val="24"/>
          <w:szCs w:val="24"/>
        </w:rPr>
        <w:t xml:space="preserve"> nos quais se verificarem vícios, defeitos ou incorreções resultantes da execução ou dos materiais empregados;</w:t>
      </w:r>
      <w:commentRangeEnd w:id="54"/>
      <w:r>
        <w:commentReference w:id="54"/>
      </w:r>
      <w:r>
        <w:rPr>
          <w:rFonts w:ascii="Calibri" w:hAnsi="Calibri"/>
          <w:sz w:val="24"/>
          <w:szCs w:val="24"/>
        </w:rPr>
      </w:r>
    </w:p>
    <w:p>
      <w:pPr>
        <w:pStyle w:val="Nivel3"/>
        <w:numPr>
          <w:ilvl w:val="2"/>
          <w:numId w:val="174"/>
        </w:numPr>
        <w:ind w:hanging="0" w:left="284"/>
        <w:rPr>
          <w:rFonts w:ascii="Calibri" w:hAnsi="Calibri"/>
          <w:sz w:val="24"/>
          <w:szCs w:val="24"/>
        </w:rPr>
      </w:pPr>
      <w:r>
        <w:rPr>
          <w:rFonts w:ascii="Calibri" w:hAnsi="Calibri"/>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3"/>
        <w:numPr>
          <w:ilvl w:val="2"/>
          <w:numId w:val="175"/>
        </w:numPr>
        <w:ind w:hanging="0" w:left="284"/>
        <w:rPr>
          <w:rFonts w:ascii="Calibri" w:hAnsi="Calibri"/>
          <w:sz w:val="24"/>
          <w:szCs w:val="24"/>
        </w:rPr>
      </w:pPr>
      <w:r>
        <w:rPr>
          <w:rFonts w:ascii="Calibri" w:hAnsi="Calibri"/>
          <w:sz w:val="24"/>
          <w:szCs w:val="24"/>
        </w:rPr>
        <w:t xml:space="preserve">Quando não for possível a verificação da regularidade no Sistema de Cadastro de Fornecedores – SICAF, o Contratado deverá entregar ao setor responsável pela fiscalização contratual, </w:t>
      </w:r>
      <w:r>
        <w:rPr>
          <w:rFonts w:eastAsia="MS Mincho" w:cs="Arial" w:ascii="Calibri" w:hAnsi="Calibri"/>
          <w:sz w:val="24"/>
          <w:szCs w:val="24"/>
        </w:rPr>
        <w:t>junto com a Nota Fiscal para fins de pagamento, os seguintes documentos:</w:t>
      </w:r>
    </w:p>
    <w:p>
      <w:pPr>
        <w:pStyle w:val="Nivel4"/>
        <w:numPr>
          <w:ilvl w:val="3"/>
          <w:numId w:val="176"/>
        </w:numPr>
        <w:ind w:hanging="0" w:left="567"/>
        <w:rPr>
          <w:rFonts w:ascii="Calibri" w:hAnsi="Calibri"/>
          <w:sz w:val="24"/>
          <w:szCs w:val="24"/>
        </w:rPr>
      </w:pPr>
      <w:r>
        <w:rPr>
          <w:rFonts w:ascii="Calibri" w:hAnsi="Calibri"/>
          <w:sz w:val="24"/>
          <w:szCs w:val="24"/>
        </w:rPr>
        <w:t>prova de regularidade relativa à Seguridade Social;</w:t>
      </w:r>
    </w:p>
    <w:p>
      <w:pPr>
        <w:pStyle w:val="Nivel4"/>
        <w:numPr>
          <w:ilvl w:val="3"/>
          <w:numId w:val="177"/>
        </w:numPr>
        <w:ind w:hanging="0" w:left="567"/>
        <w:rPr>
          <w:rFonts w:ascii="Calibri" w:hAnsi="Calibri"/>
          <w:sz w:val="24"/>
          <w:szCs w:val="24"/>
        </w:rPr>
      </w:pPr>
      <w:r>
        <w:rPr>
          <w:rFonts w:ascii="Calibri" w:hAnsi="Calibri"/>
          <w:sz w:val="24"/>
          <w:szCs w:val="24"/>
        </w:rPr>
        <w:t>certidão conjunta relativa aos tributos federais e à Dívida Ativa da União;</w:t>
      </w:r>
    </w:p>
    <w:p>
      <w:pPr>
        <w:pStyle w:val="Nivel4"/>
        <w:numPr>
          <w:ilvl w:val="3"/>
          <w:numId w:val="178"/>
        </w:numPr>
        <w:ind w:hanging="0" w:left="567"/>
        <w:rPr>
          <w:rFonts w:ascii="Calibri" w:hAnsi="Calibri"/>
          <w:sz w:val="24"/>
          <w:szCs w:val="24"/>
        </w:rPr>
      </w:pPr>
      <w:r>
        <w:rPr>
          <w:rFonts w:eastAsia="MS Mincho" w:ascii="Calibri" w:hAnsi="Calibri"/>
          <w:sz w:val="24"/>
          <w:szCs w:val="24"/>
        </w:rPr>
        <w:t xml:space="preserve">certidões que comprovem a regularidade perante a Fazenda Estadual ou Distrital do domicílio ou sede do Contratado; </w:t>
      </w:r>
    </w:p>
    <w:p>
      <w:pPr>
        <w:pStyle w:val="Nivel4"/>
        <w:numPr>
          <w:ilvl w:val="3"/>
          <w:numId w:val="179"/>
        </w:numPr>
        <w:ind w:hanging="0" w:left="567"/>
        <w:rPr>
          <w:rFonts w:ascii="Calibri" w:hAnsi="Calibri"/>
          <w:sz w:val="24"/>
          <w:szCs w:val="24"/>
        </w:rPr>
      </w:pPr>
      <w:r>
        <w:rPr>
          <w:rFonts w:ascii="Calibri" w:hAnsi="Calibri"/>
          <w:sz w:val="24"/>
          <w:szCs w:val="24"/>
        </w:rPr>
        <w:t>Certidão de Regularidade do FGTS – CRF; e</w:t>
      </w:r>
    </w:p>
    <w:p>
      <w:pPr>
        <w:pStyle w:val="Nivel4"/>
        <w:numPr>
          <w:ilvl w:val="3"/>
          <w:numId w:val="180"/>
        </w:numPr>
        <w:ind w:hanging="0" w:left="567"/>
        <w:rPr>
          <w:rFonts w:ascii="Calibri" w:hAnsi="Calibri"/>
          <w:sz w:val="24"/>
          <w:szCs w:val="24"/>
        </w:rPr>
      </w:pPr>
      <w:r>
        <w:rPr>
          <w:rFonts w:ascii="Calibri" w:hAnsi="Calibri"/>
          <w:sz w:val="24"/>
          <w:szCs w:val="24"/>
        </w:rPr>
        <w:t xml:space="preserve">Certidão Negativa de Débitos Trabalhistas – CNDT; </w:t>
      </w:r>
    </w:p>
    <w:p>
      <w:pPr>
        <w:pStyle w:val="Nivel3"/>
        <w:numPr>
          <w:ilvl w:val="2"/>
          <w:numId w:val="181"/>
        </w:numPr>
        <w:ind w:hanging="0" w:left="284"/>
        <w:rPr>
          <w:rFonts w:ascii="Calibri" w:hAnsi="Calibri"/>
          <w:sz w:val="24"/>
          <w:szCs w:val="24"/>
        </w:rPr>
      </w:pPr>
      <w:r>
        <w:rPr>
          <w:rFonts w:ascii="Calibri" w:hAnsi="Calibri"/>
          <w:sz w:val="24"/>
          <w:szCs w:val="24"/>
        </w:rPr>
        <w:t xml:space="preserve">Responsabilizar-se pelo cumprimento </w:t>
      </w:r>
      <w:r>
        <w:rPr>
          <w:rFonts w:eastAsia="MS Mincho" w:cs="Arial" w:ascii="Calibri" w:hAnsi="Calibri"/>
          <w:sz w:val="24"/>
          <w:szCs w:val="24"/>
        </w:rPr>
        <w:t>de</w:t>
      </w:r>
      <w:r>
        <w:rPr>
          <w:rFonts w:ascii="Calibri" w:hAnsi="Calibri"/>
          <w:sz w:val="24"/>
          <w:szCs w:val="24"/>
        </w:rPr>
        <w:t xml:space="preserve"> todas as obrigações trabalhistas, previdenciárias, </w:t>
      </w:r>
      <w:r>
        <w:rPr>
          <w:rFonts w:eastAsia="MS Mincho" w:cs="Arial" w:ascii="Calibri" w:hAnsi="Calibri"/>
          <w:sz w:val="24"/>
          <w:szCs w:val="24"/>
        </w:rPr>
        <w:t>fiscais, comerciais</w:t>
      </w:r>
      <w:r>
        <w:rPr>
          <w:rFonts w:ascii="Calibri" w:hAnsi="Calibri"/>
          <w:sz w:val="24"/>
          <w:szCs w:val="24"/>
        </w:rPr>
        <w:t xml:space="preserve"> e as demais previstas em legislação específica, cuja inadimplência não transfere a responsabilidade ao </w:t>
      </w:r>
      <w:r>
        <w:rPr>
          <w:rFonts w:eastAsia="MS Mincho" w:cs="Arial" w:ascii="Calibri" w:hAnsi="Calibri"/>
          <w:sz w:val="24"/>
          <w:szCs w:val="24"/>
        </w:rPr>
        <w:t>Contratante e não poderá onerar o objeto da contratação;</w:t>
      </w:r>
    </w:p>
    <w:p>
      <w:pPr>
        <w:pStyle w:val="Nivel3"/>
        <w:numPr>
          <w:ilvl w:val="2"/>
          <w:numId w:val="182"/>
        </w:numPr>
        <w:ind w:hanging="0" w:left="284"/>
        <w:rPr>
          <w:rFonts w:ascii="Calibri" w:hAnsi="Calibri"/>
          <w:sz w:val="24"/>
          <w:szCs w:val="24"/>
        </w:rPr>
      </w:pPr>
      <w:r>
        <w:rPr>
          <w:rFonts w:ascii="Calibri" w:hAnsi="Calibri"/>
          <w:sz w:val="24"/>
          <w:szCs w:val="24"/>
        </w:rPr>
        <w:t xml:space="preserve">Comunicar ao Fiscal, no prazo de 24 (vinte e quatro) horas, qualquer ocorrência anormal ou acidente que se verifique no local </w:t>
      </w:r>
      <w:r>
        <w:rPr>
          <w:rFonts w:eastAsia="MS Mincho" w:cs="Arial" w:ascii="Calibri" w:hAnsi="Calibri"/>
          <w:sz w:val="24"/>
          <w:szCs w:val="24"/>
        </w:rPr>
        <w:t>da execução do objeto contratual</w:t>
      </w:r>
      <w:r>
        <w:rPr>
          <w:rFonts w:ascii="Calibri" w:hAnsi="Calibri"/>
          <w:sz w:val="24"/>
          <w:szCs w:val="24"/>
        </w:rPr>
        <w:t>.</w:t>
      </w:r>
    </w:p>
    <w:p>
      <w:pPr>
        <w:pStyle w:val="Nivel3"/>
        <w:numPr>
          <w:ilvl w:val="2"/>
          <w:numId w:val="183"/>
        </w:numPr>
        <w:ind w:hanging="0" w:left="284"/>
        <w:rPr>
          <w:rFonts w:ascii="Calibri" w:hAnsi="Calibri"/>
          <w:sz w:val="24"/>
          <w:szCs w:val="24"/>
        </w:rPr>
      </w:pPr>
      <w:r>
        <w:rPr>
          <w:rFonts w:ascii="Calibri" w:hAnsi="Calibri"/>
          <w:sz w:val="24"/>
          <w:szCs w:val="24"/>
        </w:rPr>
        <w:t>Paralisar, por determinação do Contratante, qualquer atividade que não esteja sendo executada de acordo com a boa técnica ou que ponha em risco a segurança de pessoas ou bens de terceiros.</w:t>
      </w:r>
    </w:p>
    <w:p>
      <w:pPr>
        <w:pStyle w:val="Nivel3"/>
        <w:numPr>
          <w:ilvl w:val="2"/>
          <w:numId w:val="184"/>
        </w:numPr>
        <w:ind w:hanging="0" w:left="284"/>
        <w:rPr>
          <w:rFonts w:ascii="Calibri" w:hAnsi="Calibri"/>
          <w:sz w:val="24"/>
          <w:szCs w:val="24"/>
        </w:rPr>
      </w:pPr>
      <w:r>
        <w:rPr>
          <w:rFonts w:ascii="Calibri" w:hAnsi="Calibri"/>
          <w:sz w:val="24"/>
          <w:szCs w:val="24"/>
        </w:rPr>
        <w:t xml:space="preserve">Manter, durante toda a vigência da contratação, em compatibilidade com as obrigações assumidas, todas as condições exigidas para habilitação na licitação ou para qualificação na contratação direta; </w:t>
      </w:r>
    </w:p>
    <w:p>
      <w:pPr>
        <w:pStyle w:val="Nivel3"/>
        <w:numPr>
          <w:ilvl w:val="2"/>
          <w:numId w:val="185"/>
        </w:numPr>
        <w:ind w:hanging="0" w:left="284"/>
        <w:rPr>
          <w:rFonts w:ascii="Calibri" w:hAnsi="Calibri"/>
          <w:sz w:val="24"/>
          <w:szCs w:val="24"/>
        </w:rPr>
      </w:pPr>
      <w:r>
        <w:rPr>
          <w:rFonts w:ascii="Calibri" w:hAnsi="Calibri"/>
          <w:sz w:val="24"/>
          <w:szCs w:val="24"/>
        </w:rPr>
        <w:t>Cumprir, durante todo o período de execução contratual, a reserva de cargos prevista em lei para pessoa com deficiência, para reabilitado da Previdência Social ou para aprendiz, bem como as reservas de cargos previstas na legislação;</w:t>
      </w:r>
    </w:p>
    <w:p>
      <w:pPr>
        <w:pStyle w:val="Nivel3"/>
        <w:numPr>
          <w:ilvl w:val="2"/>
          <w:numId w:val="186"/>
        </w:numPr>
        <w:ind w:hanging="0" w:left="284"/>
        <w:rPr>
          <w:rFonts w:ascii="Calibri" w:hAnsi="Calibri"/>
          <w:sz w:val="24"/>
          <w:szCs w:val="24"/>
        </w:rPr>
      </w:pPr>
      <w:r>
        <w:rPr>
          <w:rFonts w:ascii="Calibri" w:hAnsi="Calibri"/>
          <w:sz w:val="24"/>
          <w:szCs w:val="24"/>
        </w:rPr>
        <w:t>Comprovar a reserva de cargos a que se refere a cláusula acima, no prazo fixado pela fiscalização contratual, com a indicação dos empregados que preencheram as referidas vagas;</w:t>
      </w:r>
    </w:p>
    <w:p>
      <w:pPr>
        <w:pStyle w:val="Nivel3"/>
        <w:numPr>
          <w:ilvl w:val="2"/>
          <w:numId w:val="187"/>
        </w:numPr>
        <w:ind w:hanging="0" w:left="284"/>
        <w:rPr>
          <w:rFonts w:ascii="Calibri" w:hAnsi="Calibri"/>
          <w:sz w:val="24"/>
          <w:szCs w:val="24"/>
        </w:rPr>
      </w:pPr>
      <w:r>
        <w:rPr>
          <w:rFonts w:ascii="Calibri" w:hAnsi="Calibri"/>
          <w:sz w:val="24"/>
          <w:szCs w:val="24"/>
        </w:rPr>
        <w:t>Guardar sigilo sobre todas as informações obtidas em decorrência da execução do objeto;</w:t>
      </w:r>
    </w:p>
    <w:p>
      <w:pPr>
        <w:pStyle w:val="Nivel3"/>
        <w:numPr>
          <w:ilvl w:val="2"/>
          <w:numId w:val="188"/>
        </w:numPr>
        <w:ind w:hanging="0" w:left="284"/>
        <w:rPr>
          <w:rFonts w:ascii="Calibri" w:hAnsi="Calibri"/>
          <w:sz w:val="24"/>
          <w:szCs w:val="24"/>
        </w:rPr>
      </w:pPr>
      <w:r>
        <w:rPr>
          <w:rFonts w:ascii="Calibri" w:hAnsi="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3"/>
        <w:numPr>
          <w:ilvl w:val="2"/>
          <w:numId w:val="189"/>
        </w:numPr>
        <w:ind w:hanging="0" w:left="284"/>
        <w:rPr>
          <w:rFonts w:ascii="Calibri" w:hAnsi="Calibri"/>
          <w:sz w:val="24"/>
          <w:szCs w:val="24"/>
        </w:rPr>
      </w:pPr>
      <w:r>
        <w:rPr>
          <w:rFonts w:ascii="Calibri" w:hAnsi="Calibri"/>
          <w:sz w:val="24"/>
          <w:szCs w:val="24"/>
        </w:rPr>
        <w:t>Cumprir, além dos postulados legais vigentes de âmbito federal, estadual ou municipal, as normas de segurança do Contratante;</w:t>
      </w:r>
    </w:p>
    <w:p>
      <w:pPr>
        <w:pStyle w:val="Nivel01"/>
        <w:numPr>
          <w:ilvl w:val="0"/>
          <w:numId w:val="3"/>
        </w:numPr>
        <w:ind w:hanging="357" w:left="357"/>
        <w:rPr>
          <w:color w:val="000000"/>
        </w:rPr>
      </w:pPr>
      <w:r>
        <w:rPr>
          <w:rFonts w:ascii="Calibri" w:hAnsi="Calibri"/>
          <w:sz w:val="24"/>
          <w:szCs w:val="24"/>
        </w:rPr>
        <w:t>DA EXTINÇÃO CONTRATUAL</w:t>
      </w:r>
    </w:p>
    <w:p>
      <w:pPr>
        <w:pStyle w:val="Nvel2-Opcional"/>
        <w:numPr>
          <w:ilvl w:val="1"/>
          <w:numId w:val="3"/>
        </w:numPr>
        <w:rPr>
          <w:rFonts w:ascii="Calibri" w:hAnsi="Calibri"/>
          <w:color w:val="000000"/>
          <w:sz w:val="24"/>
          <w:szCs w:val="24"/>
        </w:rPr>
      </w:pPr>
      <w:commentRangeStart w:id="55"/>
      <w:r>
        <w:rPr>
          <w:color w:val="000000"/>
          <w:sz w:val="24"/>
          <w:szCs w:val="24"/>
        </w:rPr>
        <w:t>A contratação será extinta quando cumpridas as obrigações de ambas as partes, ainda que isso ocorra antes do prazo estipulado para tanto.</w:t>
      </w:r>
    </w:p>
    <w:p>
      <w:pPr>
        <w:pStyle w:val="Nvel2-Opcional"/>
        <w:numPr>
          <w:ilvl w:val="1"/>
          <w:numId w:val="3"/>
        </w:numPr>
        <w:rPr>
          <w:rFonts w:ascii="Calibri" w:hAnsi="Calibri"/>
          <w:color w:val="000000"/>
          <w:sz w:val="24"/>
          <w:szCs w:val="24"/>
        </w:rPr>
      </w:pPr>
      <w:r>
        <w:rPr>
          <w:color w:val="000000"/>
          <w:sz w:val="24"/>
          <w:szCs w:val="24"/>
        </w:rPr>
        <w:t>Se as obrigações não forem cumpridas no prazo estipulado, a vigência ficará prorrogada até a conclusão do objeto, caso em que deverá a Administração providenciar a readequação do cronograma fixado para a contratação.</w:t>
      </w:r>
    </w:p>
    <w:p>
      <w:pPr>
        <w:pStyle w:val="Nvel2-Opcional"/>
        <w:numPr>
          <w:ilvl w:val="1"/>
          <w:numId w:val="3"/>
        </w:numPr>
        <w:rPr>
          <w:rFonts w:ascii="Calibri" w:hAnsi="Calibri"/>
          <w:color w:val="000000"/>
          <w:sz w:val="24"/>
          <w:szCs w:val="24"/>
        </w:rPr>
      </w:pPr>
      <w:r>
        <w:rPr>
          <w:color w:val="000000"/>
          <w:sz w:val="24"/>
          <w:szCs w:val="24"/>
        </w:rPr>
        <w:t>Quando a não conclusão do objeto referida no item anterior decorrer de culpa do Contratado:</w:t>
      </w:r>
    </w:p>
    <w:p>
      <w:pPr>
        <w:pStyle w:val="Nvel3-Opcional"/>
        <w:numPr>
          <w:ilvl w:val="2"/>
          <w:numId w:val="190"/>
        </w:numPr>
        <w:ind w:hanging="0" w:left="284"/>
        <w:rPr>
          <w:rFonts w:ascii="Calibri" w:hAnsi="Calibri"/>
          <w:color w:val="000000"/>
          <w:sz w:val="24"/>
          <w:szCs w:val="24"/>
        </w:rPr>
      </w:pPr>
      <w:r>
        <w:rPr>
          <w:rFonts w:ascii="Calibri" w:hAnsi="Calibri"/>
          <w:color w:val="000000"/>
          <w:sz w:val="24"/>
          <w:szCs w:val="24"/>
        </w:rPr>
        <w:t>ficará ele constituído em mora, sendo-lhe aplicáveis as respectivas sanções administrativas; e</w:t>
      </w:r>
    </w:p>
    <w:p>
      <w:pPr>
        <w:pStyle w:val="Nvel3-Opcional"/>
        <w:numPr>
          <w:ilvl w:val="2"/>
          <w:numId w:val="191"/>
        </w:numPr>
        <w:ind w:hanging="0" w:left="284"/>
        <w:rPr>
          <w:rFonts w:ascii="Calibri" w:hAnsi="Calibri"/>
          <w:color w:val="000000"/>
          <w:sz w:val="24"/>
          <w:szCs w:val="24"/>
        </w:rPr>
      </w:pPr>
      <w:r>
        <w:rPr>
          <w:rFonts w:ascii="Calibri" w:hAnsi="Calibri"/>
          <w:color w:val="000000"/>
          <w:sz w:val="24"/>
          <w:szCs w:val="24"/>
        </w:rPr>
        <w:t>poderá a Administração optar pela extinção contratual e, nesse caso, adotará as medidas admitidas em lei para a continuidade da execução contratual.</w:t>
      </w:r>
      <w:commentRangeEnd w:id="55"/>
      <w:r>
        <w:commentReference w:id="55"/>
      </w:r>
      <w:r>
        <w:rPr>
          <w:rFonts w:ascii="Calibri" w:hAnsi="Calibri"/>
          <w:color w:val="000000"/>
          <w:sz w:val="24"/>
          <w:szCs w:val="24"/>
        </w:rPr>
      </w:r>
    </w:p>
    <w:p>
      <w:pPr>
        <w:pStyle w:val="Nvel02"/>
        <w:numPr>
          <w:ilvl w:val="1"/>
          <w:numId w:val="3"/>
        </w:numPr>
        <w:ind w:hanging="0" w:left="0"/>
        <w:rPr>
          <w:rFonts w:ascii="Calibri" w:hAnsi="Calibri"/>
          <w:sz w:val="24"/>
          <w:szCs w:val="24"/>
        </w:rPr>
      </w:pPr>
      <w:r>
        <w:rPr>
          <w:sz w:val="24"/>
          <w:szCs w:val="24"/>
        </w:rPr>
        <w:t>A contratação poderá ser extinta antes de cumpridas as obrigações nela estipuladas, ou antes do prazo fixado, por algum dos motivos previstos no artigo 137 da Lei nº 14.133/21, bem como amigavelmente, assegurados o contraditório e a ampla defesa.</w:t>
      </w:r>
    </w:p>
    <w:p>
      <w:pPr>
        <w:pStyle w:val="Nivel3"/>
        <w:numPr>
          <w:ilvl w:val="2"/>
          <w:numId w:val="192"/>
        </w:numPr>
        <w:ind w:hanging="0" w:left="284"/>
        <w:rPr>
          <w:rFonts w:ascii="Calibri" w:hAnsi="Calibri"/>
          <w:sz w:val="24"/>
          <w:szCs w:val="24"/>
        </w:rPr>
      </w:pPr>
      <w:r>
        <w:rPr>
          <w:rFonts w:ascii="Calibri" w:hAnsi="Calibri"/>
          <w:sz w:val="24"/>
          <w:szCs w:val="24"/>
        </w:rPr>
        <w:t>Nesta hipótese, aplicam-se também os artigos 138 e 139 da</w:t>
      </w:r>
      <w:r>
        <w:rPr>
          <w:rFonts w:ascii="Calibri" w:hAnsi="Calibri"/>
          <w:color w:val="000000"/>
          <w:sz w:val="24"/>
          <w:szCs w:val="24"/>
        </w:rPr>
        <w:t xml:space="preserve"> mesma Lei.</w:t>
      </w:r>
    </w:p>
    <w:p>
      <w:pPr>
        <w:pStyle w:val="Nivel3"/>
        <w:numPr>
          <w:ilvl w:val="2"/>
          <w:numId w:val="193"/>
        </w:numPr>
        <w:ind w:hanging="0" w:left="284"/>
        <w:rPr>
          <w:rFonts w:ascii="Calibri" w:hAnsi="Calibri"/>
          <w:sz w:val="24"/>
          <w:szCs w:val="24"/>
        </w:rPr>
      </w:pPr>
      <w:r>
        <w:rPr>
          <w:rFonts w:ascii="Calibri" w:hAnsi="Calibri"/>
          <w:color w:val="000000"/>
          <w:sz w:val="24"/>
          <w:szCs w:val="24"/>
        </w:rPr>
        <w:t>A alteração social ou a modificação da finalidade ou da estrutura da empresa não ensejará a extinção se não restringir sua capacidade de concluir o objeto.</w:t>
      </w:r>
    </w:p>
    <w:p>
      <w:pPr>
        <w:pStyle w:val="Nivel4"/>
        <w:numPr>
          <w:ilvl w:val="3"/>
          <w:numId w:val="194"/>
        </w:numPr>
        <w:ind w:hanging="0" w:left="567"/>
        <w:rPr>
          <w:rFonts w:ascii="Calibri" w:hAnsi="Calibri"/>
          <w:sz w:val="24"/>
          <w:szCs w:val="24"/>
        </w:rPr>
      </w:pPr>
      <w:r>
        <w:rPr>
          <w:rFonts w:ascii="Calibri" w:hAnsi="Calibri"/>
          <w:color w:val="000000"/>
          <w:sz w:val="24"/>
          <w:szCs w:val="24"/>
        </w:rPr>
        <w:t xml:space="preserve">Se a operação </w:t>
      </w:r>
      <w:r>
        <w:rPr>
          <w:rFonts w:ascii="Calibri" w:hAnsi="Calibri"/>
          <w:sz w:val="24"/>
          <w:szCs w:val="24"/>
        </w:rPr>
        <w:t>implicar mudança da pessoa jurídica contratada, deverá ser formalizado termo aditivo para alteração subjetiva.</w:t>
      </w:r>
    </w:p>
    <w:p>
      <w:pPr>
        <w:pStyle w:val="Nvel02"/>
        <w:numPr>
          <w:ilvl w:val="1"/>
          <w:numId w:val="3"/>
        </w:numPr>
        <w:ind w:hanging="0" w:left="0"/>
        <w:rPr>
          <w:rFonts w:ascii="Calibri" w:hAnsi="Calibri"/>
          <w:sz w:val="24"/>
          <w:szCs w:val="24"/>
        </w:rPr>
      </w:pPr>
      <w:r>
        <w:rPr>
          <w:sz w:val="24"/>
          <w:szCs w:val="24"/>
        </w:rPr>
        <w:t>O termo de extinção, sempre que possível, será precedido:</w:t>
      </w:r>
    </w:p>
    <w:p>
      <w:pPr>
        <w:pStyle w:val="Nivel3"/>
        <w:numPr>
          <w:ilvl w:val="2"/>
          <w:numId w:val="195"/>
        </w:numPr>
        <w:ind w:hanging="0" w:left="284"/>
        <w:rPr>
          <w:rFonts w:ascii="Calibri" w:hAnsi="Calibri"/>
          <w:sz w:val="24"/>
          <w:szCs w:val="24"/>
        </w:rPr>
      </w:pPr>
      <w:r>
        <w:rPr>
          <w:rFonts w:ascii="Calibri" w:hAnsi="Calibri"/>
          <w:sz w:val="24"/>
          <w:szCs w:val="24"/>
        </w:rPr>
        <w:t>Balanço dos eventos contratuais já cumpridos ou parcialmente cumpridos;</w:t>
      </w:r>
    </w:p>
    <w:p>
      <w:pPr>
        <w:pStyle w:val="Nivel3"/>
        <w:numPr>
          <w:ilvl w:val="2"/>
          <w:numId w:val="196"/>
        </w:numPr>
        <w:ind w:hanging="0" w:left="284"/>
        <w:rPr>
          <w:rFonts w:ascii="Calibri" w:hAnsi="Calibri"/>
          <w:sz w:val="24"/>
          <w:szCs w:val="24"/>
        </w:rPr>
      </w:pPr>
      <w:r>
        <w:rPr>
          <w:rFonts w:ascii="Calibri" w:hAnsi="Calibri"/>
          <w:sz w:val="24"/>
          <w:szCs w:val="24"/>
        </w:rPr>
        <w:t>Relação dos pagamentos já efetuados e ainda devidos;</w:t>
      </w:r>
    </w:p>
    <w:p>
      <w:pPr>
        <w:pStyle w:val="Nivel3"/>
        <w:numPr>
          <w:ilvl w:val="2"/>
          <w:numId w:val="197"/>
        </w:numPr>
        <w:ind w:hanging="0" w:left="284"/>
        <w:rPr>
          <w:rFonts w:ascii="Calibri" w:hAnsi="Calibri"/>
          <w:sz w:val="24"/>
          <w:szCs w:val="24"/>
        </w:rPr>
      </w:pPr>
      <w:r>
        <w:rPr>
          <w:rFonts w:ascii="Calibri" w:hAnsi="Calibri"/>
          <w:sz w:val="24"/>
          <w:szCs w:val="24"/>
        </w:rPr>
        <w:t>Indenizações e multas.</w:t>
      </w:r>
    </w:p>
    <w:p>
      <w:pPr>
        <w:pStyle w:val="Nvel02"/>
        <w:numPr>
          <w:ilvl w:val="1"/>
          <w:numId w:val="3"/>
        </w:numPr>
        <w:ind w:hanging="0" w:left="0"/>
        <w:rPr>
          <w:rFonts w:ascii="Calibri" w:hAnsi="Calibri"/>
          <w:sz w:val="24"/>
          <w:szCs w:val="24"/>
        </w:rPr>
      </w:pPr>
      <w:r>
        <w:rPr>
          <w:sz w:val="24"/>
          <w:szCs w:val="24"/>
        </w:rPr>
        <w:t>A extinção contratual não configura óbice para o reconhecimento do desequilíbrio econômico-financeiro, hipótese em que será concedida indenização por meio de termo indenizatório.</w:t>
      </w:r>
    </w:p>
    <w:p>
      <w:pPr>
        <w:pStyle w:val="Nvel02"/>
        <w:numPr>
          <w:ilvl w:val="1"/>
          <w:numId w:val="3"/>
        </w:numPr>
        <w:ind w:hanging="0" w:left="0"/>
        <w:rPr>
          <w:rFonts w:ascii="Calibri" w:hAnsi="Calibri"/>
          <w:sz w:val="24"/>
          <w:szCs w:val="24"/>
        </w:rPr>
      </w:pPr>
      <w:r>
        <w:rPr>
          <w:sz w:val="24"/>
          <w:szCs w:val="24"/>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Nivel01"/>
        <w:numPr>
          <w:ilvl w:val="0"/>
          <w:numId w:val="3"/>
        </w:numPr>
        <w:ind w:hanging="357" w:left="357"/>
        <w:rPr>
          <w:rFonts w:ascii="Calibri" w:hAnsi="Calibri"/>
          <w:sz w:val="24"/>
          <w:szCs w:val="24"/>
        </w:rPr>
      </w:pPr>
      <w:r>
        <w:rPr>
          <w:rFonts w:ascii="Calibri" w:hAnsi="Calibri"/>
          <w:sz w:val="24"/>
          <w:szCs w:val="24"/>
        </w:rPr>
        <w:t>DOS CASOS OMISSOS</w:t>
      </w:r>
    </w:p>
    <w:p>
      <w:pPr>
        <w:pStyle w:val="Nvel02"/>
        <w:numPr>
          <w:ilvl w:val="1"/>
          <w:numId w:val="3"/>
        </w:numPr>
        <w:ind w:hanging="0" w:left="0"/>
        <w:rPr/>
      </w:pPr>
      <w:commentRangeStart w:id="56"/>
      <w:r>
        <w:rPr>
          <w:color w:val="000000"/>
          <w:sz w:val="24"/>
          <w:szCs w:val="24"/>
        </w:rPr>
        <w:t xml:space="preserve">Os casos </w:t>
      </w:r>
      <w:r>
        <w:rPr>
          <w:sz w:val="24"/>
          <w:szCs w:val="24"/>
        </w:rPr>
        <w:t xml:space="preserve">omissos serão decididos pelo Contratante, segundo as disposições contidas na Lei nº 14.133, de 2021, e demais normas federais aplicáveis e, subsidiariamente, segundo as disposições contidas na </w:t>
      </w:r>
      <w:hyperlink r:id="rId3">
        <w:r>
          <w:rPr>
            <w:rStyle w:val="ListLabel1956"/>
            <w:sz w:val="24"/>
            <w:szCs w:val="24"/>
          </w:rPr>
          <w:t>Lei nº 8.078, de 1990 – Código de Defesa do Consumidor</w:t>
        </w:r>
      </w:hyperlink>
      <w:r>
        <w:rPr>
          <w:sz w:val="24"/>
          <w:szCs w:val="24"/>
        </w:rPr>
        <w:t xml:space="preserve"> – e normas e princípios gerais dos contratos.</w:t>
      </w:r>
      <w:commentRangeEnd w:id="56"/>
      <w:r>
        <w:commentReference w:id="56"/>
      </w:r>
      <w:r>
        <w:rPr>
          <w:sz w:val="24"/>
          <w:szCs w:val="24"/>
        </w:rPr>
      </w:r>
    </w:p>
    <w:p>
      <w:pPr>
        <w:pStyle w:val="Nivel01"/>
        <w:numPr>
          <w:ilvl w:val="0"/>
          <w:numId w:val="3"/>
        </w:numPr>
        <w:ind w:hanging="357" w:left="357"/>
        <w:rPr>
          <w:rFonts w:ascii="Calibri" w:hAnsi="Calibri"/>
          <w:sz w:val="24"/>
          <w:szCs w:val="24"/>
        </w:rPr>
      </w:pPr>
      <w:r>
        <w:rPr>
          <w:rFonts w:ascii="Calibri" w:hAnsi="Calibri"/>
          <w:sz w:val="24"/>
          <w:szCs w:val="24"/>
        </w:rPr>
        <w:t>ALTERAÇÕES</w:t>
      </w:r>
    </w:p>
    <w:p>
      <w:pPr>
        <w:pStyle w:val="Nvel02"/>
        <w:numPr>
          <w:ilvl w:val="1"/>
          <w:numId w:val="3"/>
        </w:numPr>
        <w:ind w:hanging="0" w:left="0"/>
        <w:rPr>
          <w:rFonts w:ascii="Calibri" w:hAnsi="Calibri"/>
          <w:sz w:val="24"/>
          <w:szCs w:val="24"/>
        </w:rPr>
      </w:pPr>
      <w:r>
        <w:rPr>
          <w:sz w:val="24"/>
          <w:szCs w:val="24"/>
        </w:rPr>
        <w:t>Eventuais alterações contratuais reger-se-ão pela disciplina dos arts. 124 e seguintes da Lei nº 14.133, de 2021.</w:t>
      </w:r>
    </w:p>
    <w:p>
      <w:pPr>
        <w:pStyle w:val="Nvel02"/>
        <w:numPr>
          <w:ilvl w:val="1"/>
          <w:numId w:val="3"/>
        </w:numPr>
        <w:ind w:hanging="0" w:left="0"/>
        <w:rPr>
          <w:rFonts w:ascii="Calibri" w:hAnsi="Calibri"/>
          <w:sz w:val="24"/>
          <w:szCs w:val="24"/>
        </w:rPr>
      </w:pPr>
      <w:r>
        <w:rPr>
          <w:sz w:val="24"/>
          <w:szCs w:val="24"/>
        </w:rPr>
        <w:t>O Contratado é obrigado a aceitar, nas mesmas condições contratuais, os acréscimos ou supressões que se fizerem necessários, até o limite de 25% (vinte e cinco por cento) do valor inicial atualizado da contratação.</w:t>
      </w:r>
    </w:p>
    <w:p>
      <w:pPr>
        <w:pStyle w:val="Nvel02"/>
        <w:numPr>
          <w:ilvl w:val="1"/>
          <w:numId w:val="3"/>
        </w:numPr>
        <w:ind w:hanging="0" w:left="0"/>
        <w:rPr>
          <w:rFonts w:ascii="Calibri" w:hAnsi="Calibri"/>
          <w:sz w:val="24"/>
          <w:szCs w:val="24"/>
        </w:rPr>
      </w:pPr>
      <w:commentRangeStart w:id="57"/>
      <w:r>
        <w:rPr>
          <w:sz w:val="24"/>
          <w:szCs w:val="24"/>
        </w:rPr>
        <w:t>As supressões resultantes de acordo celebrado entre as partes contratantes poderão exceder o limite de 25% (vinte e cinco por cento) do valor inicial atualizado do contrato.</w:t>
      </w:r>
      <w:commentRangeEnd w:id="57"/>
      <w:r>
        <w:commentReference w:id="57"/>
      </w:r>
      <w:r>
        <w:rPr>
          <w:sz w:val="24"/>
          <w:szCs w:val="24"/>
        </w:rPr>
      </w:r>
    </w:p>
    <w:p>
      <w:pPr>
        <w:pStyle w:val="Nvel02"/>
        <w:numPr>
          <w:ilvl w:val="1"/>
          <w:numId w:val="3"/>
        </w:numPr>
        <w:ind w:hanging="0" w:left="0"/>
        <w:rPr>
          <w:rFonts w:ascii="Calibri" w:hAnsi="Calibri"/>
          <w:sz w:val="24"/>
          <w:szCs w:val="24"/>
        </w:rPr>
      </w:pPr>
      <w:r>
        <w:rPr>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Pr>
          <w:b/>
          <w:bCs/>
          <w:sz w:val="24"/>
          <w:szCs w:val="24"/>
        </w:rPr>
        <w:t>1 (um) mês.</w:t>
      </w:r>
    </w:p>
    <w:p>
      <w:pPr>
        <w:pStyle w:val="Nvel02"/>
        <w:numPr>
          <w:ilvl w:val="1"/>
          <w:numId w:val="3"/>
        </w:numPr>
        <w:ind w:hanging="0" w:left="0"/>
        <w:rPr>
          <w:rFonts w:ascii="Calibri" w:hAnsi="Calibri"/>
          <w:sz w:val="24"/>
          <w:szCs w:val="24"/>
        </w:rPr>
      </w:pPr>
      <w:r>
        <w:rPr>
          <w:sz w:val="24"/>
          <w:szCs w:val="24"/>
        </w:rPr>
        <w:t>Registros que não caracterizam alterações contratuais podem ser realizados por simples apostila, dispensada a celebração de termo aditivo, na forma do art. 136 da Lei nº 14.133, de 2021.</w:t>
      </w:r>
    </w:p>
    <w:p>
      <w:pPr>
        <w:pStyle w:val="Nivel01"/>
        <w:numPr>
          <w:ilvl w:val="0"/>
          <w:numId w:val="3"/>
        </w:numPr>
        <w:ind w:hanging="357" w:left="357"/>
        <w:rPr>
          <w:rFonts w:ascii="Calibri" w:hAnsi="Calibri"/>
          <w:sz w:val="24"/>
          <w:szCs w:val="24"/>
        </w:rPr>
      </w:pPr>
      <w:r>
        <w:rPr>
          <w:rFonts w:ascii="Calibri" w:hAnsi="Calibri"/>
          <w:sz w:val="24"/>
          <w:szCs w:val="24"/>
        </w:rPr>
        <w:t>FORO</w:t>
      </w:r>
    </w:p>
    <w:p>
      <w:pPr>
        <w:pStyle w:val="Nvel02"/>
        <w:numPr>
          <w:ilvl w:val="1"/>
          <w:numId w:val="3"/>
        </w:numPr>
        <w:ind w:hanging="0" w:left="0"/>
        <w:rPr>
          <w:rFonts w:ascii="Calibri" w:hAnsi="Calibri"/>
          <w:sz w:val="24"/>
          <w:szCs w:val="24"/>
        </w:rPr>
      </w:pPr>
      <w:r>
        <w:rPr>
          <w:rFonts w:ascii="Calibri" w:hAnsi="Calibri"/>
          <w:color w:val="000000"/>
          <w:sz w:val="24"/>
          <w:szCs w:val="24"/>
        </w:rPr>
        <w:t xml:space="preserve">Fica definido o Foro da Justiça Federal </w:t>
      </w:r>
      <w:r>
        <w:rPr>
          <w:rFonts w:ascii="Calibri" w:hAnsi="Calibri"/>
          <w:color w:val="000000"/>
          <w:sz w:val="24"/>
          <w:szCs w:val="24"/>
        </w:rPr>
        <w:t>no Rio de Janeiro</w:t>
      </w:r>
      <w:r>
        <w:rPr>
          <w:rFonts w:ascii="Calibri" w:hAnsi="Calibri"/>
          <w:color w:val="000000"/>
          <w:sz w:val="24"/>
          <w:szCs w:val="24"/>
        </w:rPr>
        <w:t xml:space="preserve"> para dirimir os litígios que decorrerem da execução contratual que não puderem ser compostos pela conciliação, conforme art. 92, §1º, da Lei nº 14.133, de 2021.</w:t>
      </w:r>
    </w:p>
    <w:p>
      <w:pPr>
        <w:pStyle w:val="Normal"/>
        <w:rPr>
          <w:rFonts w:ascii="Calibri" w:hAnsi="Calibri" w:eastAsia="Times New Roman" w:cs="Arial"/>
          <w:color w:val="000080"/>
          <w:sz w:val="24"/>
          <w:szCs w:val="24"/>
          <w:u w:val="single"/>
        </w:rPr>
      </w:pPr>
      <w:r>
        <w:rPr>
          <w:rFonts w:eastAsia="Times New Roman" w:cs="Arial" w:ascii="Calibri" w:hAnsi="Calibri"/>
          <w:color w:val="000080"/>
          <w:sz w:val="24"/>
          <w:szCs w:val="24"/>
          <w:u w:val="single"/>
        </w:rPr>
      </w:r>
      <w:r>
        <w:br w:type="page"/>
      </w:r>
    </w:p>
    <w:p>
      <w:pPr>
        <w:pStyle w:val="Normal"/>
        <w:numPr>
          <w:ilvl w:val="0"/>
          <w:numId w:val="0"/>
        </w:numPr>
        <w:spacing w:before="0" w:after="0"/>
        <w:ind w:hanging="0" w:left="0"/>
        <w:jc w:val="center"/>
        <w:outlineLvl w:val="0"/>
        <w:rPr>
          <w:rFonts w:ascii="Calibri" w:hAnsi="Calibri"/>
          <w:sz w:val="24"/>
          <w:szCs w:val="24"/>
        </w:rPr>
      </w:pPr>
      <w:r>
        <w:rPr>
          <w:rFonts w:cs="Arial" w:ascii="Calibri" w:hAnsi="Calibri"/>
          <w:b/>
          <w:sz w:val="24"/>
          <w:szCs w:val="24"/>
        </w:rPr>
        <w:t xml:space="preserve">Apêndice </w:t>
      </w:r>
      <w:r>
        <w:rPr>
          <w:rFonts w:cs="Arial" w:ascii="Calibri" w:hAnsi="Calibri"/>
          <w:b/>
          <w:sz w:val="24"/>
          <w:szCs w:val="24"/>
        </w:rPr>
        <w:t>II</w:t>
      </w:r>
      <w:r>
        <w:rPr>
          <w:rFonts w:cs="Arial" w:ascii="Calibri" w:hAnsi="Calibri"/>
          <w:b/>
          <w:sz w:val="24"/>
          <w:szCs w:val="24"/>
        </w:rPr>
        <w:t xml:space="preserve"> </w:t>
      </w:r>
    </w:p>
    <w:p>
      <w:pPr>
        <w:pStyle w:val="Normal"/>
        <w:spacing w:before="0" w:after="360"/>
        <w:jc w:val="center"/>
        <w:rPr>
          <w:color w:val="000000"/>
        </w:rPr>
      </w:pPr>
      <w:r>
        <w:rPr>
          <w:rFonts w:cs="Arial" w:ascii="Calibri" w:hAnsi="Calibri"/>
          <w:b/>
          <w:sz w:val="24"/>
          <w:szCs w:val="24"/>
        </w:rPr>
        <w:t xml:space="preserve">TERMO DE CIÊNCIA E </w:t>
      </w:r>
      <w:commentRangeStart w:id="58"/>
      <w:r>
        <w:rPr>
          <w:rFonts w:cs="Arial" w:ascii="Calibri" w:hAnsi="Calibri"/>
          <w:b/>
          <w:sz w:val="24"/>
          <w:szCs w:val="24"/>
        </w:rPr>
        <w:t>CONCORDÂNCIA</w:t>
      </w:r>
      <w:commentRangeEnd w:id="58"/>
      <w:r>
        <w:commentReference w:id="58"/>
      </w:r>
      <w:r>
        <w:rPr>
          <w:rFonts w:cs="Arial" w:ascii="Calibri" w:hAnsi="Calibri"/>
          <w:b/>
          <w:sz w:val="24"/>
          <w:szCs w:val="24"/>
        </w:rPr>
      </w:r>
    </w:p>
    <w:p>
      <w:pPr>
        <w:pStyle w:val="Normal"/>
        <w:spacing w:lineRule="auto" w:line="276" w:before="120" w:after="120"/>
        <w:ind w:firstLine="1134"/>
        <w:jc w:val="both"/>
        <w:rPr>
          <w:rFonts w:ascii="Calibri" w:hAnsi="Calibri"/>
          <w:color w:val="000000"/>
          <w:sz w:val="24"/>
          <w:szCs w:val="24"/>
        </w:rPr>
      </w:pPr>
      <w:r>
        <w:rPr>
          <w:rFonts w:cs="Arial" w:ascii="Calibri" w:hAnsi="Calibri"/>
          <w:color w:val="000000"/>
          <w:sz w:val="24"/>
          <w:szCs w:val="24"/>
        </w:rPr>
        <w:t>Por meio deste instrumento, .....................</w:t>
      </w:r>
      <w:r>
        <w:rPr>
          <w:rFonts w:cs="Arial" w:ascii="Calibri" w:hAnsi="Calibri"/>
          <w:color w:val="000000"/>
          <w:sz w:val="24"/>
          <w:szCs w:val="24"/>
        </w:rPr>
        <w:t xml:space="preserve"> </w:t>
      </w:r>
      <w:r>
        <w:rPr>
          <w:rFonts w:cs="Arial" w:ascii="Calibri" w:hAnsi="Calibri"/>
          <w:i/>
          <w:iCs/>
          <w:color w:val="000000"/>
          <w:sz w:val="24"/>
          <w:szCs w:val="24"/>
        </w:rPr>
        <w:t>(identificar o Contratado)</w:t>
      </w:r>
      <w:r>
        <w:rPr>
          <w:rFonts w:cs="Arial" w:ascii="Calibri" w:hAnsi="Calibri"/>
          <w:color w:val="000000"/>
          <w:sz w:val="24"/>
          <w:szCs w:val="24"/>
        </w:rPr>
        <w:t xml:space="preserve"> </w:t>
      </w:r>
      <w:r>
        <w:rPr>
          <w:rFonts w:cs="Arial" w:ascii="Calibri" w:hAnsi="Calibri"/>
          <w:color w:val="000000"/>
          <w:sz w:val="24"/>
          <w:szCs w:val="24"/>
        </w:rPr>
        <w:t>declara que</w:t>
      </w:r>
      <w:r>
        <w:rPr>
          <w:rFonts w:cs="Arial" w:ascii="Calibri" w:hAnsi="Calibri"/>
          <w:color w:val="000000"/>
          <w:sz w:val="24"/>
          <w:szCs w:val="24"/>
        </w:rPr>
        <w:t xml:space="preserve"> </w:t>
      </w:r>
      <w:r>
        <w:rPr>
          <w:rFonts w:cs="Arial" w:ascii="Calibri" w:hAnsi="Calibri"/>
          <w:color w:val="000000"/>
          <w:sz w:val="24"/>
          <w:szCs w:val="24"/>
        </w:rPr>
        <w:t>está</w:t>
      </w:r>
      <w:r>
        <w:rPr>
          <w:rFonts w:cs="Arial" w:ascii="Calibri" w:hAnsi="Calibri"/>
          <w:color w:val="000000"/>
          <w:sz w:val="24"/>
          <w:szCs w:val="24"/>
        </w:rPr>
        <w:t xml:space="preserve"> </w:t>
      </w:r>
      <w:r>
        <w:rPr>
          <w:rFonts w:cs="Arial" w:ascii="Calibri" w:hAnsi="Calibri"/>
          <w:color w:val="000000"/>
          <w:sz w:val="24"/>
          <w:szCs w:val="24"/>
        </w:rPr>
        <w:t>ciente e concorda com as disposições e obrigações previstas no</w:t>
      </w:r>
      <w:r>
        <w:rPr>
          <w:rFonts w:cs="Arial" w:ascii="Calibri" w:hAnsi="Calibri"/>
          <w:i/>
          <w:iCs/>
          <w:color w:val="000000"/>
          <w:sz w:val="24"/>
          <w:szCs w:val="24"/>
        </w:rPr>
        <w:t xml:space="preserve"> Edital</w:t>
      </w:r>
      <w:r>
        <w:rPr>
          <w:rFonts w:cs="Arial" w:ascii="Calibri" w:hAnsi="Calibri"/>
          <w:color w:val="000000"/>
          <w:sz w:val="24"/>
          <w:szCs w:val="24"/>
        </w:rPr>
        <w:t xml:space="preserve">, no Termo de Referência e nos demais anexos a que se refere o </w:t>
      </w:r>
      <w:r>
        <w:rPr>
          <w:rFonts w:cs="Arial" w:ascii="Calibri" w:hAnsi="Calibri"/>
          <w:i/>
          <w:iCs/>
          <w:color w:val="000000"/>
          <w:sz w:val="24"/>
          <w:szCs w:val="24"/>
        </w:rPr>
        <w:t xml:space="preserve">Pregão </w:t>
      </w:r>
      <w:r>
        <w:rPr>
          <w:rFonts w:cs="Arial" w:ascii="Calibri" w:hAnsi="Calibri"/>
          <w:color w:val="000000"/>
          <w:sz w:val="24"/>
          <w:szCs w:val="24"/>
        </w:rPr>
        <w:t>nº.........../20......., bem como que se responsabiliza, sob as penas da Lei, pela veracidade e legitimidade das informações e documentos apresentados durante o processo de contratação.</w:t>
      </w:r>
    </w:p>
    <w:p>
      <w:pPr>
        <w:pStyle w:val="Normal"/>
        <w:spacing w:before="360" w:after="0"/>
        <w:jc w:val="center"/>
        <w:rPr>
          <w:rFonts w:ascii="Calibri" w:hAnsi="Calibri"/>
          <w:color w:val="000000"/>
          <w:sz w:val="24"/>
          <w:szCs w:val="24"/>
        </w:rPr>
      </w:pPr>
      <w:r>
        <w:rPr>
          <w:rFonts w:cs="Arial" w:ascii="Calibri" w:hAnsi="Calibri"/>
          <w:color w:val="000000"/>
          <w:sz w:val="24"/>
          <w:szCs w:val="24"/>
        </w:rPr>
        <w:t xml:space="preserve">Local-UF, </w:t>
      </w:r>
      <w:r>
        <w:rPr>
          <w:rFonts w:cs="Arial" w:ascii="Calibri" w:hAnsi="Calibri"/>
          <w:color w:val="000000"/>
          <w:sz w:val="24"/>
          <w:szCs w:val="24"/>
        </w:rPr>
        <w:t>........</w:t>
      </w:r>
      <w:r>
        <w:rPr>
          <w:rFonts w:cs="Arial" w:ascii="Calibri" w:hAnsi="Calibri"/>
          <w:color w:val="000000"/>
          <w:sz w:val="24"/>
          <w:szCs w:val="24"/>
        </w:rPr>
        <w:t xml:space="preserve"> de </w:t>
      </w:r>
      <w:r>
        <w:rPr>
          <w:rFonts w:cs="Arial" w:ascii="Calibri" w:hAnsi="Calibri"/>
          <w:color w:val="000000"/>
          <w:sz w:val="24"/>
          <w:szCs w:val="24"/>
        </w:rPr>
        <w:t>...................</w:t>
      </w:r>
      <w:r>
        <w:rPr>
          <w:rFonts w:cs="Arial" w:ascii="Calibri" w:hAnsi="Calibri"/>
          <w:color w:val="000000"/>
          <w:sz w:val="24"/>
          <w:szCs w:val="24"/>
        </w:rPr>
        <w:t xml:space="preserve"> de 20</w:t>
      </w:r>
      <w:r>
        <w:rPr>
          <w:rFonts w:cs="Arial" w:ascii="Calibri" w:hAnsi="Calibri"/>
          <w:color w:val="000000"/>
          <w:sz w:val="24"/>
          <w:szCs w:val="24"/>
        </w:rPr>
        <w:t xml:space="preserve">.... </w:t>
      </w:r>
      <w:r>
        <w:rPr>
          <w:rFonts w:cs="Arial" w:ascii="Calibri" w:hAnsi="Calibri"/>
          <w:color w:val="000000"/>
          <w:sz w:val="24"/>
          <w:szCs w:val="24"/>
        </w:rPr>
        <w:t>.</w:t>
      </w:r>
    </w:p>
    <w:p>
      <w:pPr>
        <w:pStyle w:val="Normal"/>
        <w:spacing w:before="480" w:after="0"/>
        <w:jc w:val="center"/>
        <w:rPr>
          <w:rFonts w:ascii="Calibri" w:hAnsi="Calibri"/>
          <w:color w:val="000000"/>
          <w:sz w:val="24"/>
          <w:szCs w:val="24"/>
        </w:rPr>
      </w:pPr>
      <w:r>
        <w:rPr>
          <w:rFonts w:cs="Arial" w:ascii="Calibri" w:hAnsi="Calibri"/>
          <w:color w:val="000000"/>
          <w:sz w:val="24"/>
          <w:szCs w:val="24"/>
        </w:rPr>
        <w:t>__________________________________________</w:t>
      </w:r>
    </w:p>
    <w:p>
      <w:pPr>
        <w:pStyle w:val="Normal"/>
        <w:jc w:val="center"/>
        <w:rPr>
          <w:rFonts w:ascii="Calibri" w:hAnsi="Calibri"/>
          <w:color w:val="000000"/>
          <w:sz w:val="24"/>
          <w:szCs w:val="24"/>
        </w:rPr>
      </w:pPr>
      <w:r>
        <w:rPr>
          <w:rFonts w:cs="Arial" w:ascii="Calibri" w:hAnsi="Calibri"/>
          <w:color w:val="000000"/>
          <w:sz w:val="24"/>
          <w:szCs w:val="24"/>
        </w:rPr>
        <w:t xml:space="preserve">(Nome </w:t>
      </w:r>
      <w:r>
        <w:rPr>
          <w:rFonts w:ascii="Calibri" w:hAnsi="Calibri"/>
          <w:i/>
          <w:color w:val="000000"/>
          <w:sz w:val="24"/>
          <w:szCs w:val="24"/>
        </w:rPr>
        <w:t>e Cargo do Representante Legal</w:t>
      </w:r>
      <w:r>
        <w:rPr>
          <w:rFonts w:cs="Arial" w:ascii="Calibri" w:hAnsi="Calibri"/>
          <w:color w:val="000000"/>
          <w:sz w:val="24"/>
          <w:szCs w:val="24"/>
        </w:rPr>
        <w:t>)</w:t>
      </w:r>
    </w:p>
    <w:sectPr>
      <w:footerReference w:type="default" r:id="rId4"/>
      <w:type w:val="nextPage"/>
      <w:pgSz w:w="11906" w:h="16838"/>
      <w:pgMar w:left="1134" w:right="1134" w:gutter="0" w:header="0"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 xml:space="preserve">Considerando que este Termo de Referência contempla tanto as hipóteses de contratações diretas quanto de contratações decorrentes de licitação, a expressão "fornecedor" ou "interessado", utilizada ao longo do texto, abrange contratados e licitantes, conforme o caso. </w:t>
      </w:r>
    </w:p>
  </w:comment>
  <w:comment w:id="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2"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Artigo 18, §1º, da Lei nº 14.133, de 2021, contém a seguinte redação: </w:t>
      </w:r>
    </w:p>
    <w:p>
      <w:pPr>
        <w:overflowPunct w:val="false"/>
        <w:rPr/>
      </w:pPr>
      <w:r>
        <w:rPr>
          <w:rFonts w:ascii="Liberation Serif" w:hAnsi="Liberation Serif" w:eastAsia="Segoe UI"/>
          <w:i/>
          <w:iCs/>
          <w:color w:val="000000"/>
          <w:lang w:val="en-US" w:eastAsia="en-US" w:bidi="en-US"/>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pPr>
        <w:overflowPunct w:val="false"/>
        <w:rPr/>
      </w:pPr>
      <w:r>
        <w:rPr>
          <w:rFonts w:ascii="Liberation Serif" w:hAnsi="Liberation Serif" w:eastAsia="Segoe UI"/>
          <w:i/>
          <w:iCs/>
          <w:color w:val="000000"/>
          <w:lang w:val="en-US" w:eastAsia="en-US" w:bidi="en-US"/>
        </w:rPr>
        <w:t>Ver também Instrução Normativa SEGES/ME nº 58, de 08 de agosto de 2022 (ETP), art. 3º, inciso I e art. 6º.</w:t>
      </w:r>
    </w:p>
    <w:p>
      <w:pPr>
        <w:overflowPunct w:val="false"/>
        <w:rPr/>
      </w:pPr>
      <w:r>
        <w:rPr>
          <w:rFonts w:ascii="Liberation Serif" w:hAnsi="Liberation Serif" w:eastAsia="Segoe UI"/>
          <w:i/>
          <w:iCs/>
          <w:color w:val="000000"/>
          <w:lang w:val="en-US" w:eastAsia="en-US" w:bidi="en-US"/>
        </w:rPr>
        <w:t>Caso haja a necessidade de modificação da descrição em relação à originalmente feita nos estudos técnicos preliminares, recomenda-se o dispositivo 3.1, para que passe a contemplar essa alteração.</w:t>
      </w:r>
    </w:p>
    <w:p>
      <w:pPr>
        <w:overflowPunct w:val="false"/>
        <w:rPr/>
      </w:pPr>
      <w:r>
        <w:rPr>
          <w:rFonts w:ascii="Liberation Serif" w:hAnsi="Liberation Serif" w:eastAsia="Segoe UI"/>
          <w:i/>
          <w:iCs/>
          <w:color w:val="000000"/>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4: </w:t>
      </w:r>
      <w:r>
        <w:rPr>
          <w:rFonts w:ascii="Liberation Serif" w:hAnsi="Liberation Serif" w:eastAsia="Segoe UI"/>
          <w:i/>
          <w:iCs/>
          <w:color w:val="000000"/>
          <w:lang w:val="en-US" w:eastAsia="en-US" w:bidi="en-US"/>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rFonts w:ascii="Liberation Serif" w:hAnsi="Liberation Serif" w:eastAsia="Segoe UI"/>
          <w:b/>
          <w:bCs/>
          <w:i/>
          <w:iCs/>
          <w:color w:val="000000"/>
          <w:lang w:val="en-US" w:eastAsia="en-US" w:bidi="en-US"/>
        </w:rPr>
        <w:t>Reitere-se: se a descrição contida no ETP não contiver esse ponto, deve ser complementada neste TR</w:t>
      </w:r>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5:</w:t>
      </w:r>
      <w:r>
        <w:rPr>
          <w:rFonts w:ascii="Liberation Serif" w:hAnsi="Liberation Serif" w:eastAsia="Segoe UI"/>
          <w:i/>
          <w:iCs/>
          <w:color w:val="000000"/>
          <w:lang w:val="en-US" w:eastAsia="en-US" w:bidi="en-US"/>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w:t>
      </w:r>
      <w:hyperlink r:id="rId1">
        <w:r>
          <w:rPr>
            <w:rFonts w:ascii="Liberation Serif" w:hAnsi="Liberation Serif" w:eastAsia="Segoe UI"/>
            <w:i/>
            <w:iCs/>
            <w:color w:val="000000"/>
            <w:lang w:val="en-US" w:eastAsia="en-US" w:bidi="en-US"/>
          </w:rPr>
          <w:t>catálogo eletrônico de padronização</w:t>
        </w:r>
      </w:hyperlink>
      <w:r>
        <w:rPr>
          <w:rFonts w:ascii="Liberation Serif" w:hAnsi="Liberation Serif" w:eastAsia="Segoe UI"/>
          <w:i/>
          <w:iCs/>
          <w:color w:val="000000"/>
          <w:lang w:val="en-US" w:eastAsia="en-US" w:bidi="en-US"/>
        </w:rPr>
        <w:t>, o qual deverá ser consultado para verificar se a contratação almejada está contemplada em seus termos. Em existindo padronização aprovada, ela deve ser considerada e eventual não-uso justificado nos autos.</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6: </w:t>
      </w:r>
      <w:r>
        <w:rPr>
          <w:rFonts w:ascii="Liberation Serif" w:hAnsi="Liberation Serif" w:eastAsia="Segoe UI"/>
          <w:i/>
          <w:iCs/>
          <w:color w:val="000000"/>
          <w:lang w:val="en-US" w:eastAsia="en-US" w:bidi="en-US"/>
        </w:rPr>
        <w:t xml:space="preserve">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hyperlink r:id="rId2">
        <w:r>
          <w:rPr>
            <w:rFonts w:ascii="Liberation Serif" w:hAnsi="Liberation Serif" w:eastAsia="Segoe UI"/>
            <w:i/>
            <w:iCs/>
            <w:color w:val="000000"/>
            <w:lang w:val="en-US" w:eastAsia="en-US" w:bidi="en-US"/>
          </w:rPr>
          <w:t>Guia Nacional de Contratações Sustentáveis da AGU</w:t>
        </w:r>
      </w:hyperlink>
      <w:r>
        <w:rPr>
          <w:rFonts w:ascii="Liberation Serif" w:hAnsi="Liberation Serif" w:eastAsia="Segoe UI"/>
          <w:i/>
          <w:iCs/>
          <w:color w:val="000000"/>
          <w:lang w:val="en-US" w:eastAsia="en-US" w:bidi="en-US"/>
        </w:rPr>
        <w:t xml:space="preserve"> para tal fim. Caso o Estudo Técnico Preliminar seja silente ou insuficiente a esse respeito, recomenda-se abrir tópico específico nesta seção sobre a matéria.</w:t>
      </w:r>
    </w:p>
    <w:p>
      <w:pPr>
        <w:overflowPunct w:val="false"/>
        <w:rPr/>
      </w:pPr>
      <w:r>
        <w:rPr>
          <w:rFonts w:ascii="Liberation Serif" w:hAnsi="Liberation Serif" w:eastAsia="Segoe UI"/>
          <w:i/>
          <w:iCs/>
          <w:color w:val="000000"/>
          <w:lang w:val="en-US" w:eastAsia="en-US" w:bidi="en-US"/>
        </w:rPr>
        <w:t>Vale registrar que a sustentabilidade pode incidir a partir de características do próprio objeto a ser contratado como também de outros modos, compilados no tópico “requisitos da contratação”, abaixo.</w:t>
      </w:r>
    </w:p>
  </w:comment>
  <w:comment w:id="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Os requisitos da contratação deverão ser registrados nos Sistemas TR DIGITAL E ETP DIGITAL, nos term</w:t>
      </w:r>
      <w:r>
        <w:rPr>
          <w:rFonts w:ascii="Liberation Serif" w:hAnsi="Liberation Serif" w:eastAsia="Segoe UI"/>
          <w:i/>
          <w:iCs/>
          <w:lang w:val="en-US" w:eastAsia="en-US" w:bidi="en-US"/>
        </w:rPr>
        <w:t xml:space="preserve">os do </w:t>
      </w:r>
      <w:r>
        <w:fldChar w:fldCharType="begin"/>
      </w:r>
      <w:r>
        <w:instrText xml:space="preserve"> HYPERLINK "https://www.in.gov.br/en/web/dou/-/instrucao-normativa-cgnor/me-n-81-de-25-de-novembro-de-2022-446388890" \l "art9"</w:instrText>
      </w:r>
      <w:r>
        <w:fldChar w:fldCharType="separate"/>
      </w:r>
      <w:r>
        <w:rPr>
          <w:rFonts w:ascii="Liberation Serif" w:hAnsi="Liberation Serif" w:eastAsia="Segoe UI"/>
          <w:i/>
          <w:iCs/>
          <w:lang w:val="en-US" w:eastAsia="en-US" w:bidi="en-US"/>
        </w:rPr>
        <w:t>art. 9º, inciso IV da IN Seges/ME nº 81, de 2022</w:t>
      </w:r>
      <w:r>
        <w:fldChar w:fldCharType="end"/>
      </w:r>
      <w:r>
        <w:rPr>
          <w:rFonts w:ascii="Liberation Serif" w:hAnsi="Liberation Serif" w:eastAsia="Segoe UI"/>
          <w:i/>
          <w:iCs/>
          <w:lang w:val="en-US" w:eastAsia="en-US" w:bidi="en-US"/>
        </w:rPr>
        <w:t xml:space="preserve"> e </w:t>
      </w:r>
      <w:r>
        <w:fldChar w:fldCharType="begin"/>
      </w:r>
      <w:r>
        <w:instrText xml:space="preserve"> HYPERLINK "https://www.in.gov.br/en/web/dou/-/instrucao-normativa-seges-n-58-de-8-de-agosto-de-2022-421221597" \l "art9"</w:instrText>
      </w:r>
      <w:r>
        <w:fldChar w:fldCharType="separate"/>
      </w:r>
      <w:r>
        <w:rPr>
          <w:rFonts w:ascii="Liberation Serif" w:hAnsi="Liberation Serif" w:eastAsia="Segoe UI"/>
          <w:i/>
          <w:iCs/>
          <w:lang w:val="en-US" w:eastAsia="en-US" w:bidi="en-US"/>
        </w:rPr>
        <w:t>art. 9º, inciso II, da Instrução Normativa Seges/ME nº 58, de 2022.</w:t>
      </w:r>
      <w:r>
        <w:fldChar w:fldCharType="end"/>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w:t>
      </w:r>
      <w:r>
        <w:rPr>
          <w:rFonts w:ascii="Liberation Serif" w:hAnsi="Liberation Serif" w:eastAsia="Segoe UI"/>
          <w:i/>
          <w:iCs/>
          <w:lang w:val="en-US" w:eastAsia="en-US" w:bidi="en-US"/>
        </w:rPr>
        <w:t>de tópico específico neste TR (CRITÉRIOS DE SELEÇÃO DO FORNECEDOR) de modo que sua inclusão aqui seria redundante.</w:t>
      </w:r>
    </w:p>
  </w:comment>
  <w:comment w:id="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O Termo de Referência e os Estudos Técnicos Preliminares deverão estar alinhados com o Plano Diretor de </w:t>
      </w:r>
      <w:r>
        <w:rPr>
          <w:rFonts w:ascii="Liberation Serif" w:hAnsi="Liberation Serif" w:eastAsia="Segoe UI"/>
          <w:i/>
          <w:iCs/>
          <w:lang w:val="en-US" w:eastAsia="en-US" w:bidi="en-US"/>
        </w:rPr>
        <w:t>Logística Sustentável, Plano de Contratações Anual, além de outros instrumentos de planejamento da Administração,</w:t>
      </w:r>
      <w:r>
        <w:rPr>
          <w:rFonts w:ascii="Liberation Serif" w:hAnsi="Liberation Serif" w:eastAsia="Segoe UI"/>
          <w:b/>
          <w:bCs/>
          <w:i/>
          <w:iCs/>
          <w:lang w:val="en-US" w:eastAsia="en-US" w:bidi="en-US"/>
        </w:rPr>
        <w:t xml:space="preserve"> </w:t>
      </w:r>
      <w:r>
        <w:rPr>
          <w:rFonts w:ascii="Liberation Serif" w:hAnsi="Liberation Serif" w:eastAsia="Segoe UI"/>
          <w:i/>
          <w:iCs/>
          <w:lang w:val="en-US" w:eastAsia="en-US" w:bidi="en-US"/>
        </w:rPr>
        <w:t xml:space="preserve">de acordo com o </w:t>
      </w:r>
      <w:hyperlink r:id="rId3">
        <w:r>
          <w:rPr>
            <w:rFonts w:ascii="Liberation Serif" w:hAnsi="Liberation Serif" w:eastAsia="Segoe UI"/>
            <w:i/>
            <w:iCs/>
            <w:lang w:val="en-US" w:eastAsia="en-US" w:bidi="en-US"/>
          </w:rPr>
          <w:t>art. 7º da IN Seges/ME nº 81, de 2022</w:t>
        </w:r>
      </w:hyperlink>
      <w:r>
        <w:rPr>
          <w:rFonts w:ascii="Liberation Serif" w:hAnsi="Liberation Serif" w:eastAsia="Segoe UI"/>
          <w:i/>
          <w:iCs/>
          <w:lang w:val="en-US" w:eastAsia="en-US" w:bidi="en-US"/>
        </w:rPr>
        <w:t xml:space="preserve">, e </w:t>
      </w:r>
      <w:hyperlink r:id="rId4">
        <w:r>
          <w:rPr>
            <w:rFonts w:ascii="Liberation Serif" w:hAnsi="Liberation Serif" w:eastAsia="Segoe UI"/>
            <w:i/>
            <w:iCs/>
            <w:lang w:val="en-US" w:eastAsia="en-US" w:bidi="en-US"/>
          </w:rPr>
          <w:t>art. 7º da Instrução Normativa Seges/ME nº 58, de 2022</w:t>
        </w:r>
      </w:hyperlink>
      <w:r>
        <w:rPr>
          <w:rFonts w:ascii="Liberation Serif" w:hAnsi="Liberation Serif" w:eastAsia="Segoe UI"/>
          <w:i/>
          <w:iCs/>
          <w:lang w:val="en-US" w:eastAsia="en-US" w:bidi="en-US"/>
        </w:rPr>
        <w:t xml:space="preserve">. </w:t>
      </w:r>
    </w:p>
    <w:p>
      <w:pPr>
        <w:overflowPunct w:val="false"/>
        <w:rPr/>
      </w:pPr>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Nos termos da </w:t>
      </w:r>
      <w:hyperlink r:id="rId5">
        <w:r>
          <w:rPr>
            <w:rFonts w:ascii="Liberation Serif" w:hAnsi="Liberation Serif" w:eastAsia="Segoe UI"/>
            <w:i/>
            <w:iCs/>
            <w:lang w:val="en-US" w:eastAsia="en-US" w:bidi="en-US"/>
          </w:rPr>
          <w:t>Portaria SEGES/ME nº 8.678, de 19 de julho de 2021</w:t>
        </w:r>
      </w:hyperlink>
      <w:r>
        <w:rPr>
          <w:rFonts w:ascii="Liberation Serif" w:hAnsi="Liberation Serif" w:eastAsia="Segoe UI"/>
          <w:i/>
          <w:iCs/>
          <w:color w:val="000000"/>
          <w:lang w:val="en-US" w:eastAsia="en-US" w:bidi="en-US"/>
        </w:rPr>
        <w:t xml:space="preserve">, o  Plano Diretor de Logística Sustentável é </w:t>
      </w:r>
      <w:r>
        <w:rPr>
          <w:rFonts w:ascii="Liberation Serif" w:hAnsi="Liberation Serif" w:eastAsia="Segoe UI"/>
          <w:i/>
          <w:iCs/>
          <w:color w:val="555555"/>
          <w:lang w:val="en-US" w:eastAsia="en-US" w:bidi="en-US"/>
        </w:rPr>
        <w:t> </w:t>
      </w:r>
      <w:r>
        <w:rPr>
          <w:rFonts w:ascii="Liberation Serif" w:hAnsi="Liberation Serif" w:eastAsia="Segoe UI"/>
          <w:i/>
          <w:iCs/>
          <w:color w:val="000000"/>
          <w:lang w:val="en-US" w:eastAsia="en-US" w:bidi="en-US"/>
        </w:rPr>
        <w:t>instrumento de governança, vinculado ao planejamento estratégico do órgão ou entidade, ou instrumento equivalente, e às leis orçamentárias, que estabelece a estratégia das contratações e da logística no âmbito do órgão ou entidade, considerando objetivos e ações referentes a critérios e a práticas de sustentabilidade, nas dimensões econômica, social, ambiental e cultural.</w:t>
      </w:r>
    </w:p>
    <w:p>
      <w:pPr>
        <w:overflowPunct w:val="false"/>
        <w:rPr/>
      </w:pPr>
      <w:r>
        <w:rPr>
          <w:rFonts w:ascii="Liberation Serif" w:hAnsi="Liberation Serif" w:eastAsia="Segoe UI"/>
          <w:i/>
          <w:iCs/>
          <w:color w:val="000000"/>
          <w:lang w:val="en-US" w:eastAsia="en-US" w:bidi="en-US"/>
        </w:rPr>
        <w:t xml:space="preserve">Destaque-se ainda que, de acordo com o </w:t>
      </w:r>
      <w:r>
        <w:fldChar w:fldCharType="begin"/>
      </w:r>
      <w:r>
        <w:instrText xml:space="preserve"> HYPERLINK "https://www.gov.br/compras/pt-br/acesso-a-informacao/legislacao/portarias/portaria-seges-me-no-8-678-de-19-de-julho-de-2021" \l "art8"</w:instrText>
      </w:r>
      <w:r>
        <w:fldChar w:fldCharType="separate"/>
      </w:r>
      <w:r>
        <w:rPr>
          <w:rFonts w:ascii="Liberation Serif" w:hAnsi="Liberation Serif" w:eastAsia="Segoe UI"/>
          <w:i/>
          <w:iCs/>
          <w:color w:val="000000"/>
          <w:lang w:val="en-US" w:eastAsia="en-US" w:bidi="en-US"/>
        </w:rPr>
        <w:t>artigo 8º, §1º, III, da Portaria SEGES/ME nº 8.678, de 2021</w:t>
      </w:r>
      <w:r>
        <w:fldChar w:fldCharType="end"/>
      </w:r>
      <w:r>
        <w:rPr>
          <w:rFonts w:ascii="Liberation Serif" w:hAnsi="Liberation Serif" w:eastAsia="Segoe UI"/>
          <w:i/>
          <w:iCs/>
          <w:color w:val="000000"/>
          <w:lang w:val="en-US" w:eastAsia="en-US" w:bidi="en-US"/>
        </w:rPr>
        <w:t xml:space="preserve">, o Plano Diretor de Logística Sustentável deverá nortear a elaboração dos anteprojetos, dos projetos básicos ou dos termos de referência de cada contratação. </w:t>
      </w:r>
    </w:p>
    <w:p>
      <w:pPr>
        <w:overflowPunct w:val="false"/>
        <w:rPr/>
      </w:pPr>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lang w:val="en-US" w:eastAsia="en-US" w:bidi="en-US"/>
        </w:rPr>
        <w:t xml:space="preserve">Os preceitos do desenvolvimento sustentável devem ser observados na fase preparatória da contratação, em suas dimensões econômica, social, ambiental e cultural, no mínimo, com base nos planos de gestão de logística sustentável dos órgãos e das entidades, conforme prevê o parágrafo único do </w:t>
      </w:r>
      <w:r>
        <w:fldChar w:fldCharType="begin"/>
      </w:r>
      <w:r>
        <w:instrText xml:space="preserve"> HYPERLINK "https://www.gov.br/compras/pt-br/acesso-a-informacao/legislacao/instrucoes-normativas/instrucao-normativa-seges-me-no-73-de-30-de-setembro-de-2022" \l "art11"</w:instrText>
      </w:r>
      <w:r>
        <w:fldChar w:fldCharType="separate"/>
      </w:r>
      <w:r>
        <w:rPr>
          <w:rFonts w:ascii="Liberation Serif" w:hAnsi="Liberation Serif" w:eastAsia="Segoe UI"/>
          <w:i/>
          <w:iCs/>
          <w:lang w:val="en-US" w:eastAsia="en-US" w:bidi="en-US"/>
        </w:rPr>
        <w:t>artigo 11 da Instrução Normativa SEGES/ME nº 73, de 2022</w:t>
      </w:r>
      <w:r>
        <w:fldChar w:fldCharType="end"/>
      </w:r>
      <w:r>
        <w:rPr>
          <w:rFonts w:ascii="Liberation Serif" w:hAnsi="Liberation Serif" w:eastAsia="Segoe UI"/>
          <w:i/>
          <w:iCs/>
          <w:lang w:val="en-US" w:eastAsia="en-US" w:bidi="en-US"/>
        </w:rPr>
        <w:t>.</w:t>
      </w:r>
    </w:p>
    <w:p>
      <w:pPr>
        <w:overflowPunct w:val="false"/>
        <w:rPr/>
      </w:pPr>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Os critérios e práticas de sustentabilidade deverão ser registrados no sistema de ETP Digital, conforme previsão do </w:t>
      </w:r>
      <w:r>
        <w:fldChar w:fldCharType="begin"/>
      </w:r>
      <w:r>
        <w:instrText xml:space="preserve"> HYPERLINK "https://www.gov.br/compras/pt-br/acesso-a-informacao/legislacao/instrucoes-normativas/instrucao-normativa-seges-no-58-de-8-de-agosto-de-2022" \l "art9"</w:instrText>
      </w:r>
      <w:r>
        <w:fldChar w:fldCharType="separate"/>
      </w:r>
      <w:r>
        <w:rPr>
          <w:rFonts w:ascii="Liberation Serif" w:hAnsi="Liberation Serif" w:eastAsia="Segoe UI"/>
          <w:i/>
          <w:iCs/>
          <w:color w:val="000000"/>
          <w:lang w:val="en-US" w:eastAsia="en-US" w:bidi="en-US"/>
        </w:rPr>
        <w:t>Art. 9º, II, da Instrução Normativa SEGES/ME nº 58, de 2022</w:t>
      </w:r>
      <w:r>
        <w:fldChar w:fldCharType="end"/>
      </w:r>
      <w:r>
        <w:rPr>
          <w:rFonts w:ascii="Liberation Serif" w:hAnsi="Liberation Serif" w:eastAsia="Segoe UI"/>
          <w:i/>
          <w:iCs/>
          <w:color w:val="000000"/>
          <w:lang w:val="en-US" w:eastAsia="en-US" w:bidi="en-US"/>
        </w:rPr>
        <w:t xml:space="preserve">. </w:t>
      </w:r>
    </w:p>
    <w:p>
      <w:pPr>
        <w:overflowPunct w:val="false"/>
        <w:rPr/>
      </w:pPr>
      <w:r>
        <w:rPr>
          <w:rFonts w:ascii="Liberation Serif" w:hAnsi="Liberation Serif" w:eastAsia="Segoe UI"/>
          <w:i/>
          <w:iCs/>
          <w:color w:val="000000"/>
          <w:lang w:val="en-US" w:eastAsia="en-US" w:bidi="en-US"/>
        </w:rPr>
        <w:t xml:space="preserve">Soma-se a essa previsão, o </w:t>
      </w:r>
      <w:hyperlink r:id="rId6">
        <w:r>
          <w:rPr>
            <w:rFonts w:ascii="Liberation Serif" w:hAnsi="Liberation Serif" w:eastAsia="Segoe UI"/>
            <w:i/>
            <w:iCs/>
            <w:color w:val="000000"/>
            <w:lang w:val="en-US" w:eastAsia="en-US" w:bidi="en-US"/>
          </w:rPr>
          <w:t xml:space="preserve">Parecer n. </w:t>
        </w:r>
      </w:hyperlink>
      <w:r>
        <w:rPr>
          <w:rFonts w:ascii="Liberation Serif" w:hAnsi="Liberation Serif" w:eastAsia="Segoe UI"/>
          <w:i/>
          <w:iCs/>
          <w:color w:val="000080"/>
          <w:u w:val="single"/>
          <w:lang w:val="en-US" w:eastAsia="en-US" w:bidi="en-US"/>
        </w:rPr>
        <w:t>00001/2021/CNS/CGU/AGU, da Consultoria –Geral da União aprovado nos termos do DESPACHO n. 00525/2021/GAB/CGU/AGU (NUP: 00688.000723/2019-45)</w:t>
      </w:r>
      <w:r>
        <w:rPr>
          <w:rFonts w:ascii="Liberation Serif" w:hAnsi="Liberation Serif" w:eastAsia="Segoe UI"/>
          <w:i/>
          <w:iCs/>
          <w:color w:val="000000"/>
          <w:lang w:val="en-US" w:eastAsia="en-US" w:bidi="en-US"/>
        </w:rPr>
        <w:t xml:space="preserve"> que consolidou o entendimento de que a “administração pública é obrigada a adotar critérios e práticas de sustentabilidade socioambiental e de acessibilidade nas contratações públicas, nas fases de planejamento, seleção de fornecedor, execução contratual, fiscalização e na gestão dos resíduos sólidos.” </w:t>
      </w:r>
    </w:p>
    <w:p>
      <w:pPr>
        <w:overflowPunct w:val="false"/>
        <w:rPr/>
      </w:pPr>
      <w:r>
        <w:rPr>
          <w:rFonts w:ascii="Liberation Serif" w:hAnsi="Liberation Serif" w:eastAsia="Segoe UI"/>
          <w:i/>
          <w:iCs/>
          <w:color w:val="000000"/>
          <w:lang w:val="en-US" w:eastAsia="en-US" w:bidi="en-US"/>
        </w:rPr>
        <w:t xml:space="preserve">Dessa forma, a sustentabilidade deve ser considerada pelo gestor público: a) na fase de planejamento da contratação, b) na elaboração das minutas, com consulta ao Guia, c) na fase de execução contratual e d) na adequada destinação ambiental dos resíduos decorrentes dos serviços prestados, levando em conta as diretrizes estabelecidas pela </w:t>
      </w:r>
      <w:hyperlink r:id="rId7">
        <w:r>
          <w:rPr>
            <w:rFonts w:ascii="Liberation Serif" w:hAnsi="Liberation Serif" w:eastAsia="Segoe UI"/>
            <w:i/>
            <w:iCs/>
            <w:color w:val="000000"/>
            <w:lang w:val="en-US" w:eastAsia="en-US" w:bidi="en-US"/>
          </w:rPr>
          <w:t>Lei 12.305/2010</w:t>
        </w:r>
      </w:hyperlink>
      <w:r>
        <w:rPr>
          <w:rFonts w:ascii="Liberation Serif" w:hAnsi="Liberation Serif" w:eastAsia="Segoe UI"/>
          <w:i/>
          <w:iCs/>
          <w:color w:val="000000"/>
          <w:lang w:val="en-US" w:eastAsia="en-US" w:bidi="en-US"/>
        </w:rPr>
        <w:t xml:space="preserve"> - Política Nacional de Resíduos Sólidos. Ainda que não constante do termo de referência, destaque-se que as contratações mediante pregão eletrônico deverão estar alinhadas com o Plano de Gestão e Logística Sustentável do órgão.</w:t>
      </w:r>
    </w:p>
    <w:p>
      <w:pPr>
        <w:overflowPunct w:val="false"/>
        <w:rPr/>
      </w:pPr>
      <w:r>
        <w:rPr>
          <w:rFonts w:ascii="Liberation Serif" w:hAnsi="Liberation Serif" w:eastAsia="Segoe UI"/>
          <w:b/>
          <w:bCs/>
          <w:i/>
          <w:iCs/>
          <w:color w:val="000000"/>
          <w:lang w:val="en-US" w:eastAsia="en-US" w:bidi="en-US"/>
        </w:rPr>
        <w:t xml:space="preserve">Nota Explicativa 5: </w:t>
      </w:r>
      <w:r>
        <w:rPr>
          <w:rFonts w:ascii="Liberation Serif" w:hAnsi="Liberation Serif" w:eastAsia="Segoe UI"/>
          <w:i/>
          <w:iCs/>
          <w:color w:val="000000"/>
          <w:lang w:val="en-US" w:eastAsia="en-US" w:bidi="en-US"/>
        </w:rPr>
        <w:t xml:space="preserve">A impossibilidade de adoção de critérios e práticas de sustentabilidade nas contratações públicas deverá ser justificada pelo gestor competente nos Estudos Técnicos Preliminares ou nos autos do processo administrativo, com a indicação das pertinentes razões de fato e/ou direito, conforme o </w:t>
      </w:r>
      <w:hyperlink r:id="rId8">
        <w:r>
          <w:rPr>
            <w:rFonts w:ascii="Liberation Serif" w:hAnsi="Liberation Serif" w:eastAsia="Segoe UI"/>
            <w:i/>
            <w:iCs/>
            <w:color w:val="000000"/>
            <w:lang w:val="en-US" w:eastAsia="en-US" w:bidi="en-US"/>
          </w:rPr>
          <w:t>Parecer n. 00001/2021/CNS/CGU/AGU</w:t>
        </w:r>
      </w:hyperlink>
      <w:r>
        <w:rPr>
          <w:rFonts w:ascii="Liberation Serif" w:hAnsi="Liberation Serif" w:eastAsia="Segoe UI"/>
          <w:i/>
          <w:iCs/>
          <w:color w:val="000000"/>
          <w:lang w:val="en-US" w:eastAsia="en-US" w:bidi="en-US"/>
        </w:rPr>
        <w:t xml:space="preserve"> e previsão do </w:t>
      </w:r>
      <w:r>
        <w:fldChar w:fldCharType="begin"/>
      </w:r>
      <w:r>
        <w:instrText xml:space="preserve"> HYPERLINK "https://www.gov.br/compras/pt-br/acesso-a-informacao/legislacao/instrucoes-normativas/instrucao-normativa-seges-no-58-de-8-de-agosto-de-2022" \l "art9§1"</w:instrText>
      </w:r>
      <w:r>
        <w:fldChar w:fldCharType="separate"/>
      </w:r>
      <w:r>
        <w:rPr>
          <w:rFonts w:ascii="Liberation Serif" w:hAnsi="Liberation Serif" w:eastAsia="Segoe UI"/>
          <w:i/>
          <w:iCs/>
          <w:color w:val="000000"/>
          <w:lang w:val="en-US" w:eastAsia="en-US" w:bidi="en-US"/>
        </w:rPr>
        <w:t>§1º do art. 9º da Instrução Normativa SEGES/ME nº 58, de 2022</w:t>
      </w:r>
      <w:r>
        <w:fldChar w:fldCharType="end"/>
      </w:r>
      <w:r>
        <w:rPr>
          <w:rFonts w:ascii="Liberation Serif" w:hAnsi="Liberation Serif" w:eastAsia="Segoe UI"/>
          <w:i/>
          <w:iCs/>
          <w:color w:val="000000"/>
          <w:lang w:val="en-US" w:eastAsia="en-US" w:bidi="en-US"/>
        </w:rPr>
        <w:t xml:space="preserve">, que dispõe sobre a elaboração dos Estudos Técnicos Preliminares - ETP.   </w:t>
      </w:r>
    </w:p>
    <w:p>
      <w:pPr>
        <w:overflowPunct w:val="false"/>
        <w:rPr/>
      </w:pPr>
      <w:r>
        <w:rPr>
          <w:rFonts w:ascii="Liberation Serif" w:hAnsi="Liberation Serif" w:eastAsia="Segoe UI"/>
          <w:i/>
          <w:iCs/>
          <w:color w:val="000000"/>
          <w:lang w:val="en-US" w:eastAsia="en-US" w:bidi="en-US"/>
        </w:rPr>
        <w:t xml:space="preserve">Se houver justificativa nos autos para a não-adoção de critérios de sustentabilidade (e apenas nesse caso), deverá haver a supressão dos dispositivos específicos acima. </w:t>
      </w:r>
    </w:p>
    <w:p>
      <w:pPr>
        <w:overflowPunct w:val="false"/>
        <w:rPr/>
      </w:pPr>
      <w:r>
        <w:rPr>
          <w:rFonts w:ascii="Liberation Serif" w:hAnsi="Liberation Serif" w:eastAsia="Segoe UI"/>
          <w:b/>
          <w:bCs/>
          <w:i/>
          <w:iCs/>
          <w:color w:val="000000"/>
          <w:lang w:val="en-US" w:eastAsia="en-US" w:bidi="en-US"/>
        </w:rPr>
        <w:t xml:space="preserve">Nota Explicativa 6: </w:t>
      </w:r>
      <w:r>
        <w:rPr>
          <w:rFonts w:ascii="Liberation Serif" w:hAnsi="Liberation Serif" w:eastAsia="Segoe UI"/>
          <w:i/>
          <w:iCs/>
          <w:color w:val="000000"/>
          <w:lang w:val="en-US" w:eastAsia="en-US" w:bidi="en-US"/>
        </w:rPr>
        <w:t xml:space="preserve">Aos agentes da administração pública federal encarregados de realizar contratações públicas, recomenda-se que, no exercício de suas atribuições funcionais, consultem o </w:t>
      </w:r>
      <w:hyperlink r:id="rId9">
        <w:r>
          <w:rPr>
            <w:rFonts w:ascii="Liberation Serif" w:hAnsi="Liberation Serif" w:eastAsia="Segoe UI"/>
            <w:i/>
            <w:iCs/>
            <w:color w:val="000000"/>
            <w:lang w:val="en-US" w:eastAsia="en-US" w:bidi="en-US"/>
          </w:rPr>
          <w:t>Guia Nacional de Contratações Sustentáveis da Advocacia-Geral da União</w:t>
        </w:r>
      </w:hyperlink>
      <w:r>
        <w:rPr>
          <w:rFonts w:ascii="Liberation Serif" w:hAnsi="Liberation Serif" w:eastAsia="Segoe UI"/>
          <w:i/>
          <w:iCs/>
          <w:color w:val="000000"/>
          <w:lang w:val="en-US" w:eastAsia="en-US" w:bidi="en-US"/>
        </w:rPr>
        <w:t xml:space="preserve">, disponibilizado pela Consultoria-Geral da União e no site da AGU. </w:t>
      </w:r>
    </w:p>
    <w:p>
      <w:pPr>
        <w:overflowPunct w:val="false"/>
        <w:rPr/>
      </w:pPr>
      <w:r>
        <w:rPr>
          <w:rFonts w:ascii="Liberation Serif" w:hAnsi="Liberation Serif" w:eastAsia="Segoe UI"/>
          <w:b/>
          <w:bCs/>
          <w:i/>
          <w:iCs/>
          <w:color w:val="000000"/>
          <w:lang w:val="en-US" w:eastAsia="en-US" w:bidi="en-US"/>
        </w:rPr>
        <w:t xml:space="preserve">Nota Explicativa 7: </w:t>
      </w:r>
      <w:r>
        <w:rPr>
          <w:rFonts w:ascii="Liberation Serif" w:hAnsi="Liberation Serif" w:eastAsia="Segoe UI"/>
          <w:i/>
          <w:iCs/>
          <w:color w:val="000000"/>
          <w:lang w:val="en-US" w:eastAsia="en-US" w:bidi="en-US"/>
        </w:rPr>
        <w:t xml:space="preserve">De acordo com o </w:t>
      </w:r>
      <w:hyperlink r:id="rId10">
        <w:r>
          <w:rPr>
            <w:rFonts w:ascii="Liberation Serif" w:hAnsi="Liberation Serif" w:eastAsia="Segoe UI"/>
            <w:i/>
            <w:iCs/>
            <w:color w:val="000000"/>
            <w:lang w:val="en-US" w:eastAsia="en-US" w:bidi="en-US"/>
          </w:rPr>
          <w:t>Guia Nacional de Contratações Sustentáveis da AGU</w:t>
        </w:r>
      </w:hyperlink>
      <w:r>
        <w:rPr>
          <w:rFonts w:ascii="Liberation Serif" w:hAnsi="Liberation Serif" w:eastAsia="Segoe UI"/>
          <w:i/>
          <w:iCs/>
          <w:color w:val="000000"/>
          <w:lang w:val="en-US" w:eastAsia="en-US" w:bidi="en-US"/>
        </w:rPr>
        <w:t>, a inclusão de critérios de sustentabilidade deve ser feita de modo claro e objetivo. Deve-se evitar a transcrição literal e automática das previsões legais ou normativas, sem efetuar o exame da incidência real e efetiva delas na contratação em apreço.</w:t>
      </w:r>
    </w:p>
    <w:p>
      <w:pPr>
        <w:overflowPunct w:val="false"/>
        <w:rPr/>
      </w:pPr>
      <w:r>
        <w:rPr>
          <w:rFonts w:ascii="Liberation Serif" w:hAnsi="Liberation Serif" w:eastAsia="Segoe UI"/>
          <w:i/>
          <w:iCs/>
          <w:color w:val="000000"/>
          <w:lang w:val="en-US" w:eastAsia="en-US" w:bidi="en-US"/>
        </w:rPr>
        <w:t>Assim, uma vez exigido qualquer requisito ambiental na especificação do objeto e/ou edital, e/ou contrato, deve ser prevista a forma objetiva de comprovação. É preciso saber quais critérios de sustentabilidade devem ser incluídos nos artefatos da contratação, como fazer essas exigências e de que forma as pretendidas contratadas devem comprovar o cumprimento desses critérios de sustentabilidade exigidos pela Administração. (</w:t>
      </w:r>
      <w:r>
        <w:fldChar w:fldCharType="begin"/>
      </w:r>
      <w:r>
        <w:instrText xml:space="preserve"> HYPERLINK "https://www.gov.br/compras/pt-br/acesso-a-informacao/legislacao/instrucoes-normativas/instrucao-normativa-seges-no-58-de-8-de-agosto-de-2022" \l "art9"</w:instrText>
      </w:r>
      <w:r>
        <w:fldChar w:fldCharType="separate"/>
      </w:r>
      <w:r>
        <w:rPr>
          <w:rFonts w:ascii="Liberation Serif" w:hAnsi="Liberation Serif" w:eastAsia="Segoe UI"/>
          <w:i/>
          <w:iCs/>
          <w:color w:val="000000"/>
          <w:lang w:val="en-US" w:eastAsia="en-US" w:bidi="en-US"/>
        </w:rPr>
        <w:t>artigo 9, inciso XII, da Instrução Normativa SEGES/ME nº 58, de 2022</w:t>
      </w:r>
      <w:r>
        <w:fldChar w:fldCharType="end"/>
      </w:r>
      <w:r>
        <w:rPr>
          <w:rFonts w:ascii="Liberation Serif" w:hAnsi="Liberation Serif" w:eastAsia="Segoe UI"/>
          <w:i/>
          <w:iCs/>
          <w:color w:val="000000"/>
          <w:lang w:val="en-US" w:eastAsia="en-US" w:bidi="en-US"/>
        </w:rPr>
        <w:t>, que dispõe sobre a elaboração dos Estudos Técnicos Preliminares - ETP)</w:t>
      </w:r>
    </w:p>
    <w:p>
      <w:pPr>
        <w:overflowPunct w:val="false"/>
        <w:rPr/>
      </w:pPr>
      <w:r>
        <w:rPr>
          <w:rFonts w:ascii="Liberation Serif" w:hAnsi="Liberation Serif" w:eastAsia="Segoe UI"/>
          <w:b/>
          <w:bCs/>
          <w:i/>
          <w:iCs/>
          <w:color w:val="000000"/>
          <w:lang w:val="en-US" w:eastAsia="en-US" w:bidi="en-US"/>
        </w:rPr>
        <w:t xml:space="preserve">Nota Explicativa 8: </w:t>
      </w:r>
      <w:r>
        <w:rPr>
          <w:rFonts w:ascii="Liberation Serif" w:hAnsi="Liberation Serif" w:eastAsia="Segoe UI"/>
          <w:i/>
          <w:iCs/>
          <w:color w:val="000000"/>
          <w:lang w:val="en-US" w:eastAsia="en-US" w:bidi="en-US"/>
        </w:rPr>
        <w:t>Nas aquisições e contratações governamentais, deve ser dada prioridade para produtos reciclados e recicláveis e para bens, serviços e obras que considerem critérios compatíveis com padrões de consumo sustentáveis (</w:t>
      </w:r>
      <w:r>
        <w:fldChar w:fldCharType="begin"/>
      </w:r>
      <w:r>
        <w:instrText xml:space="preserve"> HYPERLINK "https://www.planalto.gov.br/ccivil_03/_ato2007-2010/2010/lei/l12305.htm" \l "art7"</w:instrText>
      </w:r>
      <w:r>
        <w:fldChar w:fldCharType="separate"/>
      </w:r>
      <w:r>
        <w:rPr>
          <w:rFonts w:ascii="Liberation Serif" w:hAnsi="Liberation Serif" w:eastAsia="Segoe UI"/>
          <w:i/>
          <w:iCs/>
          <w:color w:val="000000"/>
          <w:lang w:val="en-US" w:eastAsia="en-US" w:bidi="en-US"/>
        </w:rPr>
        <w:t>artigo 7º, XI, da Lei nº 12.305, de 2010</w:t>
      </w:r>
      <w:r>
        <w:fldChar w:fldCharType="end"/>
      </w:r>
      <w:r>
        <w:rPr>
          <w:rFonts w:ascii="Liberation Serif" w:hAnsi="Liberation Serif" w:eastAsia="Segoe UI"/>
          <w:i/>
          <w:iCs/>
          <w:color w:val="000000"/>
          <w:lang w:val="en-US" w:eastAsia="en-US" w:bidi="en-US"/>
        </w:rPr>
        <w:t xml:space="preserve"> – Política Nacional de Resíduos Sólidos). Deve-se observar, também, a regulamentação a ser editada a luz da nova legislação.</w:t>
      </w:r>
    </w:p>
    <w:p>
      <w:pPr>
        <w:overflowPunct w:val="false"/>
        <w:rPr/>
      </w:pPr>
      <w:r>
        <w:rPr>
          <w:rFonts w:ascii="Liberation Serif" w:hAnsi="Liberation Serif" w:eastAsia="Segoe UI"/>
          <w:b/>
          <w:bCs/>
          <w:i/>
          <w:iCs/>
          <w:color w:val="000000"/>
          <w:lang w:val="en-US" w:eastAsia="en-US" w:bidi="en-US"/>
        </w:rPr>
        <w:t xml:space="preserve">Nota Explicativa 9: </w:t>
      </w:r>
      <w:r>
        <w:rPr>
          <w:rFonts w:ascii="Liberation Serif" w:hAnsi="Liberation Serif" w:eastAsia="Segoe UI"/>
          <w:i/>
          <w:iCs/>
          <w:color w:val="000000"/>
          <w:lang w:val="en-US" w:eastAsia="en-US" w:bidi="en-US"/>
        </w:rPr>
        <w:t xml:space="preserve">Recomenda-se, igualmente, consulta ao Catálogo de Materiais Sustentáveis (CATMAT Sustentável), bem como consulta prévia ao site governamental </w:t>
      </w:r>
      <w:hyperlink r:id="rId11">
        <w:r>
          <w:rPr>
            <w:rFonts w:ascii="Liberation Serif" w:hAnsi="Liberation Serif" w:eastAsia="Segoe UI"/>
            <w:i/>
            <w:iCs/>
            <w:color w:val="000000"/>
            <w:lang w:val="en-US" w:eastAsia="en-US" w:bidi="en-US"/>
          </w:rPr>
          <w:t>https://doacoes.gov.br</w:t>
        </w:r>
      </w:hyperlink>
      <w:r>
        <w:rPr>
          <w:rFonts w:ascii="Liberation Serif" w:hAnsi="Liberation Serif" w:eastAsia="Segoe UI"/>
          <w:i/>
          <w:iCs/>
          <w:color w:val="000000"/>
          <w:lang w:val="en-US" w:eastAsia="en-US" w:bidi="en-US"/>
        </w:rPr>
        <w:t>/, solução desenvolvida pelo Ministério da Gestão e da Inovação em Serviços Públicos, que oferta bens móveis e serviços para a administração pública, disponibilizados pelos próprios órgãos de governo ou oferecidos por particulares de forma não onerosa, otimizando a gestão do recurso público com consumo consciente e sustentável.</w:t>
      </w:r>
    </w:p>
  </w:comment>
  <w:comment w:id="5"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Não se admite a exigência de subcontratação para o fornecimento de bens, exceto quando estiver vinculado à prestação de serviços acessórios. Observe-se, ainda, que é vedada a subcontratação completa ou da parcela principal da obrigação.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subcontratação deve ser avaliada à luz do </w:t>
      </w:r>
      <w:hyperlink r:id="rId12">
        <w:r>
          <w:rPr>
            <w:rFonts w:ascii="Liberation Serif" w:hAnsi="Liberation Serif" w:eastAsia="Segoe UI"/>
            <w:i/>
            <w:iCs/>
            <w:color w:val="000000"/>
            <w:lang w:val="en-US" w:eastAsia="en-US" w:bidi="en-US"/>
          </w:rPr>
          <w:t>artigo 122 da Lei nº 14.133, de 2021</w:t>
        </w:r>
      </w:hyperlink>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i/>
          <w:iCs/>
          <w:color w:val="000000"/>
          <w:lang w:val="en-US" w:eastAsia="en-US" w:bidi="en-US"/>
        </w:rPr>
        <w:t>“Art. 122. Na execução do contrato e sem prejuízo das responsabilidades contratuais e legais, o contratado poderá subcontratar partes da obra, do serviço ou do fornecimento até o limite autorizado, em cada caso, pela Administração.</w:t>
      </w:r>
    </w:p>
    <w:p>
      <w:pPr>
        <w:overflowPunct w:val="false"/>
        <w:rPr/>
      </w:pPr>
      <w:r>
        <w:rPr>
          <w:rFonts w:ascii="Liberation Serif" w:hAnsi="Liberation Serif" w:eastAsia="Segoe UI"/>
          <w:i/>
          <w:iCs/>
          <w:color w:val="000000"/>
          <w:lang w:val="en-US" w:eastAsia="en-US" w:bidi="en-US"/>
        </w:rPr>
        <w:t>§ 1º O contratado apresentará à Administração documentação que comprove a capacidade técnica do subcontratado, que será avaliada e juntada aos autos do processo correspondente.</w:t>
      </w:r>
    </w:p>
    <w:p>
      <w:pPr>
        <w:overflowPunct w:val="false"/>
        <w:rPr/>
      </w:pPr>
      <w:r>
        <w:rPr>
          <w:rFonts w:ascii="Liberation Serif" w:hAnsi="Liberation Serif" w:eastAsia="Segoe UI"/>
          <w:i/>
          <w:iCs/>
          <w:color w:val="000000"/>
          <w:lang w:val="en-US" w:eastAsia="en-US" w:bidi="en-US"/>
        </w:rPr>
        <w:t>§ 2º Regulamento ou edital de licitação poderão vedar, restringir ou estabelecer condições para a subcontratação.</w:t>
      </w:r>
    </w:p>
    <w:p>
      <w:pPr>
        <w:overflowPunct w:val="false"/>
        <w:rPr/>
      </w:pPr>
      <w:r>
        <w:rPr>
          <w:rFonts w:ascii="Liberation Serif" w:hAnsi="Liberation Serif" w:eastAsia="Segoe UI"/>
          <w:i/>
          <w:iCs/>
          <w:color w:val="000000"/>
          <w:lang w:val="en-US" w:eastAsia="en-US" w:bidi="en-US"/>
        </w:rPr>
        <w:t>§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comment>
  <w:comment w:id="6"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lang w:val="en-US" w:eastAsia="en-US" w:bidi="en-US"/>
        </w:rPr>
        <w:t xml:space="preserve">Neste momento, a área técnica competente deverá indicar se será, ou não, exigida a garantia de execução do objeto para a contratação.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percentual da garantia será de: </w:t>
      </w:r>
    </w:p>
    <w:p>
      <w:pPr>
        <w:overflowPunct w:val="false"/>
        <w:rPr/>
      </w:pPr>
      <w:r>
        <w:rPr>
          <w:rFonts w:ascii="Liberation Serif" w:hAnsi="Liberation Serif" w:eastAsia="Segoe UI"/>
          <w:i/>
          <w:iCs/>
          <w:color w:val="000000"/>
          <w:lang w:val="en-US" w:eastAsia="en-US" w:bidi="en-US"/>
        </w:rPr>
        <w:t>a) até 5% (cinco por cento) do valor inicial do contrato, para contratações em geral, conforme art. 98 da Lei nº 14.133, de 2021; </w:t>
      </w:r>
    </w:p>
    <w:p>
      <w:pPr>
        <w:overflowPunct w:val="false"/>
        <w:rPr/>
      </w:pPr>
      <w:r>
        <w:rPr>
          <w:rFonts w:ascii="Liberation Serif" w:hAnsi="Liberation Serif" w:eastAsia="Segoe UI"/>
          <w:i/>
          <w:iCs/>
          <w:color w:val="000000"/>
          <w:lang w:val="en-US" w:eastAsia="en-US" w:bidi="en-US"/>
        </w:rPr>
        <w:t>b) até 10% (dez por cento) do valor inicial do contrato, nos casos de alta complexidade técnica e riscos envolvidos, caso em que deverá haver justificativa específica nos autos, conforme art. 98 da Lei nº 14.133, de 2021; </w:t>
      </w:r>
    </w:p>
    <w:p>
      <w:pPr>
        <w:overflowPunct w:val="false"/>
        <w:rPr/>
      </w:pPr>
      <w:r>
        <w:rPr>
          <w:rFonts w:ascii="Liberation Serif" w:hAnsi="Liberation Serif" w:eastAsia="Segoe UI"/>
          <w:i/>
          <w:iCs/>
          <w:color w:val="000000"/>
          <w:lang w:val="en-US" w:eastAsia="en-US" w:bidi="en-US"/>
        </w:rPr>
        <w:t>c) deverá ser acrescido de garantia adicional aos percentuais citados anteriormente, em casos de previsão de antecipação de pagamento, nos termos do art. 145, § 2º, da Lei nº 14.133, de 2021. </w:t>
      </w:r>
    </w:p>
    <w:p>
      <w:pPr>
        <w:overflowPunct w:val="false"/>
        <w:rPr/>
      </w:pPr>
      <w:r>
        <w:rPr>
          <w:rFonts w:ascii="Liberation Serif" w:hAnsi="Liberation Serif" w:eastAsia="Segoe UI"/>
          <w:i/>
          <w:iCs/>
          <w:color w:val="000000"/>
          <w:lang w:val="en-US" w:eastAsia="en-US" w:bidi="en-US"/>
        </w:rPr>
        <w:t>d) nos casos de contratos que impliquem a entrega de bens pela Administração, dos quais o contratado ficará depositário, o valor desses bens deverá ser acrescido ao valor da garantia calculado de acordo com os itens anteriores.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3:</w:t>
      </w:r>
      <w:r>
        <w:rPr>
          <w:rFonts w:ascii="Liberation Serif" w:hAnsi="Liberation Serif" w:eastAsia="Segoe UI"/>
          <w:i/>
          <w:iCs/>
          <w:color w:val="000000"/>
          <w:lang w:val="en-US" w:eastAsia="en-US" w:bidi="en-US"/>
        </w:rPr>
        <w:t xml:space="preserve"> Nos casos de fornecimentos contínuos com duração até um ano, a garantia será calculada com base no valor total do contrato. Se de duração superior a um ano, o será com base no valor anual. Nos demais casos (serviços ou fornecimentos não-contínuos), o será com base no valor inicial.</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xml:space="preserve"> O art. 96, §1º, da Lei nº 14.133, de 2021, estabelece as modalidades de garantia da execução contratual, que incluem caução, seguro-garantia, fiança bancária e título de capitalização. A escolha entre essas quatro modalidades de garantia é uma prerrogativa do contratado. </w:t>
      </w:r>
    </w:p>
    <w:p>
      <w:pPr>
        <w:overflowPunct w:val="false"/>
        <w:rPr/>
      </w:pPr>
      <w:r>
        <w:rPr>
          <w:rFonts w:ascii="Liberation Serif" w:hAnsi="Liberation Serif" w:eastAsia="Segoe UI"/>
          <w:i/>
          <w:iCs/>
          <w:lang w:val="en-US" w:eastAsia="en-US" w:bidi="en-US"/>
        </w:rPr>
        <w:t xml:space="preserve">Para a modalidade de seguro-garantia, o §3º do art. 96 da Lei nº 14.133, de 2021, impõe que a prestação da garantia ocorra antes da assinatura do contrato, no prazo mínimo de um mês, a ser estabelecido em </w:t>
      </w:r>
      <w:r>
        <w:rPr>
          <w:rFonts w:ascii="Liberation Serif" w:hAnsi="Liberation Serif" w:eastAsia="Segoe UI"/>
          <w:lang w:val="en-US" w:eastAsia="en-US" w:bidi="en-US"/>
        </w:rPr>
        <w:t>edital,  contado</w:t>
      </w:r>
      <w:r>
        <w:rPr>
          <w:rFonts w:ascii="Liberation Serif" w:hAnsi="Liberation Serif" w:eastAsia="Segoe UI"/>
          <w:i/>
          <w:iCs/>
          <w:lang w:val="en-US" w:eastAsia="en-US" w:bidi="en-US"/>
        </w:rPr>
        <w:t xml:space="preserve"> da homologação da licitação. A mesma regra deverá ser aplicada, por analogia, às contratações diretas precedidas de dispensa eletrônica. </w:t>
      </w:r>
    </w:p>
    <w:p>
      <w:pPr>
        <w:overflowPunct w:val="false"/>
        <w:rPr/>
      </w:pPr>
      <w:r>
        <w:rPr>
          <w:rFonts w:ascii="Liberation Serif" w:hAnsi="Liberation Serif" w:eastAsia="Segoe UI"/>
          <w:i/>
          <w:iCs/>
          <w:color w:val="000000"/>
          <w:lang w:val="en-US" w:eastAsia="en-US" w:bidi="en-US"/>
        </w:rPr>
        <w:t>Para as demais modalidades, prevalece o disposto no item 3.1, alínea “a”, do Anexo VII-F, da Instrução Normativa SEGES/MP nº 05, de 2017, que fixa o prazo de 10 dias, prorrogáveis por igual período, a critério do órgão contratante, contado da assinatura do contrato para prestação da garantia. </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Nos termos do art. 48, III da Lei Complementar n. 123, de 2006 (atualizada pela LC n. 147/2014), a Administração deverá estabelecer, em certames para aquisição de bens de natureza divisível, cota de até 25% (vinte e cinco por cento) do objeto para a contratação de microempresas e empresas de pequeno porte. Por essa razão, a parcela de até 25% (vinte e cinco por cento) dos quantitativos divisíveis deverá ser destinada exclusivamente a ME/EPP beneficiadas pela LC n. 123/2006. Essas “cotas reservadas” deverão ser definidas em função de cada item separadamente ou, nas licitações por preço global, em função do valor estimado para o grupo ou o lote da licitação que deve ser considerado como um único item (art. 9º, inciso I do Decreto n. 8.538, de 2015). O Termo de Referência deverá identificar as cotas reservadas para ME/EPP, assim como os respectivos itens/grupos de origem, de onde foram desmembradas.</w:t>
      </w:r>
    </w:p>
    <w:p>
      <w:pPr>
        <w:overflowPunct w:val="false"/>
        <w:rPr/>
      </w:pPr>
      <w:r>
        <w:rPr>
          <w:rFonts w:ascii="Liberation Serif" w:hAnsi="Liberation Serif" w:eastAsia="Segoe UI"/>
          <w:i/>
          <w:iCs/>
          <w:color w:val="000000"/>
          <w:lang w:val="en-US" w:eastAsia="en-US" w:bidi="en-US"/>
        </w:rPr>
        <w:t xml:space="preserve">A fixação das cotas reservadas poderá ser justificadamente excepcionada nas hipóteses do art. 10, incisos I, II e IV do Decreto nº 8.538, de 2015, ou seja, quando: "I - não houver o mínimo de três fornecedores competitivos enquadrados como microempresas [...] capazes de cumprir as exigências estabelecidas no instrumento convocatório; II - o tratamento diferenciado e simplificado para as microempresas e as empresas de pequeno porte não for vantajoso para a administração pública  ou representar prejuízo ao conjunto ou complexo do objeto a ser contratado, justificadamente; [...] IV - o tratamento diferenciado e simplificado não for capaz de alcançar, justificadamente, pelo menos um dos objetivos previstos no art. 1º". </w:t>
      </w:r>
    </w:p>
    <w:p>
      <w:pPr>
        <w:overflowPunct w:val="false"/>
        <w:rPr/>
      </w:pPr>
      <w:r>
        <w:rPr>
          <w:rFonts w:ascii="Liberation Serif" w:hAnsi="Liberation Serif" w:eastAsia="Segoe UI"/>
          <w:i/>
          <w:iCs/>
          <w:color w:val="000000"/>
          <w:lang w:val="en-US" w:eastAsia="en-US" w:bidi="en-US"/>
        </w:rPr>
        <w:t>Considera-se “não vantajosa a contratação” quando: I - resultar em preço superior ao valor estabelecido como referência; ou II - a natureza do bem, serviço ou obra for incompatível com a aplicação do benefício (Decreto nº 8.538, de 2015, art. 10, parágrafo único).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A indicação das cotas reservadas, nos termos do inciso III do art. 48, da LC n. 123, de 2006, não é cabível para os itens e grupos alcançados pela exclusividade de que trata o inciso I do mesmo dispositivo para licitações com valor igual ou inferior a R$80.000,00.</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Nos termos do Despacho do Advogado-Geral da União nº 71, de 17 de março de 2021 (NUP: 25000.193248/2018-73), a cota de 25% de contratações reservada a microempresas e empresas de pequeno porte prevista no inciso III do art. 48 da Lei Complementar nº 123, de 14 de dezembro de 2006, não está limitada ao valor de R$80.000,00 previsto no inciso I do mesmo artigo, pois são direitos independentes um do outro.</w:t>
      </w:r>
    </w:p>
  </w:comment>
  <w:comment w:id="8"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Este item deve ser adaptado de acordo com as necessidades específicas do órgão ou entidade, apresentando-se, este modelo, de forma meramente exemplificativa.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lang w:val="en-US" w:eastAsia="en-US" w:bidi="en-US"/>
        </w:rPr>
        <w:t xml:space="preserve">A descrição das tarefas básicas depende das características específicas do serviço contratado e da realidade de cada órgão. Esse item é importante para a eficácia da contratação, ainda mais em se tratando da contratação de serviços executados com regime de dedicação exclusiva de mão de obra. Deverão ser detalhadas de forma minuciosa as tarefas a serem desenvolvidas pelos empregados alocados e o respectivo método ou rotina de execução, inclusive com a indicação de frequência e periodicidade dos serviços, quando couber, vez que, quando da fiscalização contratual, a Administração só poderá exigir do contratado o cumprimento das atividades que tenham sido expressamente arroladas no Termo de Referência.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 xml:space="preserve">Nota explicativa 3: A Administração deverá atentar, quando for o caso, para a existência de regulamentações específicas relativas a determinados serviços, no que tange à respectiva metodologia de execução, como se passa, por exemplo, em relação aos serviços de limpeza e vigilância, que possuem cadernos de logística próprios. </w:t>
      </w:r>
    </w:p>
  </w:comment>
  <w:comment w:id="9"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em caso de remessa parcelada, discriminar as respectivas parcelas, prazos e condições. Esta tabela é meramente ilustrativa. Havendo a necessidade de alteração ou inclusão de dados para cada entrega, a tabela e seu conteúdo devem ser alterados.</w:t>
      </w:r>
    </w:p>
  </w:comment>
  <w:comment w:id="11"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Deverá ser registrado no Sistema de TR Digital a indicação dos locais de entrega de produtos e das regras para recebimentos provisório e definitivo, quando for o caso.</w:t>
      </w:r>
      <w:r>
        <w:rPr>
          <w:rFonts w:ascii="Liberation Serif" w:hAnsi="Liberation Serif" w:eastAsia="Segoe UI"/>
          <w:b/>
          <w:bCs/>
          <w:i/>
          <w:iCs/>
          <w:color w:val="000000"/>
          <w:lang w:val="en-US" w:eastAsia="en-US" w:bidi="en-US"/>
        </w:rPr>
        <w:t xml:space="preserve"> </w:t>
      </w:r>
      <w:r>
        <w:rPr>
          <w:rFonts w:ascii="Liberation Serif" w:hAnsi="Liberation Serif" w:eastAsia="Segoe UI"/>
          <w:i/>
          <w:iCs/>
          <w:lang w:val="en-US" w:eastAsia="en-US" w:bidi="en-US"/>
        </w:rPr>
        <w:t>(</w:t>
      </w:r>
      <w:hyperlink r:id="rId13">
        <w:r>
          <w:rPr>
            <w:rFonts w:ascii="Liberation Serif" w:hAnsi="Liberation Serif" w:eastAsia="Segoe UI"/>
            <w:i/>
            <w:iCs/>
            <w:lang w:val="en-US" w:eastAsia="en-US" w:bidi="en-US"/>
          </w:rPr>
          <w:t>art.9º, inciso I, alínea c, da IN Seges/ME nº 81, de 2022)</w:t>
        </w:r>
      </w:hyperlink>
      <w:r>
        <w:rPr>
          <w:rFonts w:ascii="Liberation Serif" w:hAnsi="Liberation Serif" w:eastAsia="Segoe UI"/>
          <w:i/>
          <w:iCs/>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haja mais de um endereço, deve-se especificar. Do mesmo modo, se os endereços se modificarem conforme cada entrega. Ademais, se houver a necessidade de previamente se acordar a data ou hora de entrega com o setor de almoxarifado respectivo, deve-se especificar essa obrigação.</w:t>
      </w:r>
    </w:p>
  </w:comment>
  <w:comment w:id="10" w:author="Autor desconhecido" w:date="2025-12-10T13:45:30Z" w:initials="">
    <w:p>
      <w:pPr>
        <w:overflowPunct w:val="false"/>
        <w:rPr/>
      </w:pPr>
      <w:r>
        <w:rPr>
          <w:rFonts w:ascii="Liberation Serif" w:hAnsi="Liberation Serif" w:eastAsia="Segoe UI"/>
          <w:lang w:val="en-US" w:eastAsia="en-US" w:bidi="en-US"/>
        </w:rPr>
        <w:t>Informar horário/dia para entrega do material.</w:t>
      </w:r>
    </w:p>
  </w:comment>
  <w:comment w:id="12"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w:t>
      </w:r>
      <w:hyperlink r:id="rId14">
        <w:r>
          <w:rPr>
            <w:rFonts w:ascii="Liberation Serif" w:hAnsi="Liberation Serif" w:eastAsia="Segoe UI"/>
            <w:i/>
            <w:iCs/>
            <w:color w:val="000000"/>
            <w:lang w:val="en-US" w:eastAsia="en-US" w:bidi="en-US"/>
          </w:rPr>
          <w:t xml:space="preserve">artigo 9º, inciso alínea “d” </w:t>
        </w:r>
      </w:hyperlink>
      <w:hyperlink r:id="rId15">
        <w:r>
          <w:rPr>
            <w:rFonts w:ascii="Liberation Serif" w:hAnsi="Liberation Serif" w:eastAsia="Segoe UI"/>
            <w:i/>
            <w:iCs/>
            <w:color w:val="000000"/>
            <w:lang w:val="en-US" w:eastAsia="en-US" w:bidi="en-US"/>
          </w:rPr>
          <w:t>da IN Seges/ME nº 81</w:t>
        </w:r>
      </w:hyperlink>
      <w:r>
        <w:rPr>
          <w:rFonts w:ascii="Liberation Serif" w:hAnsi="Liberation Serif" w:eastAsia="Segoe UI"/>
          <w:i/>
          <w:iCs/>
          <w:lang w:val="en-US" w:eastAsia="en-US" w:bidi="en-US"/>
        </w:rPr>
        <w:t xml:space="preserve"> de 2022 ex</w:t>
      </w:r>
      <w:r>
        <w:rPr>
          <w:rFonts w:ascii="Liberation Serif" w:hAnsi="Liberation Serif" w:eastAsia="Segoe UI"/>
          <w:i/>
          <w:iCs/>
          <w:color w:val="000000"/>
          <w:lang w:val="en-US" w:eastAsia="en-US" w:bidi="en-US"/>
        </w:rPr>
        <w:t>ige que a inserção no TR Digital da especificação da garantia exigida e das condições de manutenção e assistência técnica, quando for o caso.</w:t>
      </w:r>
    </w:p>
  </w:comment>
  <w:comment w:id="13"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Sugere-se esta redação para material de consumo.</w:t>
      </w:r>
    </w:p>
  </w:comment>
  <w:comment w:id="1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Os gestores e fiscais do contrato serão designados pela autoridade máxima do órgão ou da entidade, ou a quem as normas de organização administrativa indicarem, na forma do </w:t>
      </w:r>
      <w:r>
        <w:fldChar w:fldCharType="begin"/>
      </w:r>
      <w:r>
        <w:instrText xml:space="preserve"> HYPERLINK "http://www.planalto.gov.br/ccivil_03/_ato2019-2022/2021/lei/L14133.htm" \l "art7"</w:instrText>
      </w:r>
      <w:r>
        <w:fldChar w:fldCharType="separate"/>
      </w:r>
      <w:r>
        <w:rPr>
          <w:rFonts w:ascii="Liberation Serif" w:hAnsi="Liberation Serif" w:eastAsia="Segoe UI"/>
          <w:i/>
          <w:iCs/>
          <w:color w:val="000000"/>
          <w:lang w:val="en-US" w:eastAsia="en-US" w:bidi="en-US"/>
        </w:rPr>
        <w:t>art. 7º da Lei nº 14.133, de 2021</w:t>
      </w:r>
      <w:r>
        <w:fldChar w:fldCharType="end"/>
      </w:r>
      <w:r>
        <w:rPr>
          <w:rFonts w:ascii="Liberation Serif" w:hAnsi="Liberation Serif" w:eastAsia="Segoe UI"/>
          <w:i/>
          <w:iCs/>
          <w:color w:val="000000"/>
          <w:lang w:val="en-US" w:eastAsia="en-US" w:bidi="en-US"/>
        </w:rPr>
        <w:t xml:space="preserve">, e </w:t>
      </w:r>
      <w:hyperlink r:id="rId16">
        <w:r>
          <w:rPr>
            <w:rFonts w:ascii="Liberation Serif" w:hAnsi="Liberation Serif" w:eastAsia="Segoe UI"/>
            <w:i/>
            <w:iCs/>
            <w:color w:val="000000"/>
            <w:lang w:val="en-US" w:eastAsia="en-US" w:bidi="en-US"/>
          </w:rPr>
          <w:t>art. 8º do Decreto nº 11.246, de 2022</w:t>
        </w:r>
      </w:hyperlink>
      <w:r>
        <w:rPr>
          <w:rFonts w:ascii="Liberation Serif" w:hAnsi="Liberation Serif" w:eastAsia="Segoe UI"/>
          <w:i/>
          <w:iCs/>
          <w:color w:val="000000"/>
          <w:lang w:val="en-US" w:eastAsia="en-US" w:bidi="en-US"/>
        </w:rPr>
        <w:t>, devendo a Administração instruir os autos com as publicações dos atos de designação dos agentes públicos para o exercício dessas funções.</w:t>
      </w:r>
    </w:p>
  </w:comment>
  <w:comment w:id="15" w:author="Autor" w:date="0-00-00T00:00:00Z" w:initials="A">
    <w:p>
      <w:pPr>
        <w:overflowPunct w:val="false"/>
        <w:rPr/>
      </w:pPr>
      <w:r>
        <w:rPr>
          <w:rFonts w:ascii="Liberation Serif" w:hAnsi="Liberation Serif" w:eastAsia="Segoe UI"/>
          <w:b/>
          <w:bCs/>
          <w:i/>
          <w:iCs/>
          <w:lang w:val="en-US" w:eastAsia="en-US" w:bidi="en-US"/>
        </w:rPr>
        <w:t>Nota Explicativa :</w:t>
      </w:r>
      <w:r>
        <w:rPr>
          <w:rFonts w:ascii="Liberation Serif" w:hAnsi="Liberation Serif" w:eastAsia="Segoe UI"/>
          <w:i/>
          <w:iCs/>
          <w:lang w:val="en-US" w:eastAsia="en-US" w:bidi="en-US"/>
        </w:rPr>
        <w:t xml:space="preserve"> A </w:t>
      </w:r>
      <w:hyperlink r:id="rId17">
        <w:r>
          <w:rPr>
            <w:rFonts w:ascii="Liberation Serif" w:hAnsi="Liberation Serif" w:eastAsia="Segoe UI"/>
            <w:i/>
            <w:iCs/>
            <w:lang w:val="en-US" w:eastAsia="en-US" w:bidi="en-US"/>
          </w:rPr>
          <w:t>Lei nº 14.133, de 2021 (art. 162, parágrafo único)</w:t>
        </w:r>
      </w:hyperlink>
      <w:r>
        <w:rPr>
          <w:rFonts w:ascii="Liberation Serif" w:hAnsi="Liberation Serif" w:eastAsia="Segoe UI"/>
          <w:i/>
          <w:iCs/>
          <w:lang w:val="en-US" w:eastAsia="en-US" w:bidi="en-US"/>
        </w:rPr>
        <w:t xml:space="preserve">,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w:t>
      </w:r>
      <w:r>
        <w:rPr>
          <w:rFonts w:ascii="Liberation Serif" w:hAnsi="Liberation Serif" w:eastAsia="Segoe UI"/>
          <w:b/>
          <w:bCs/>
          <w:i/>
          <w:iCs/>
          <w:lang w:val="en-US" w:eastAsia="en-US" w:bidi="en-US"/>
        </w:rPr>
        <w:t>qual o prazo limite para a mora do contratado,</w:t>
      </w:r>
      <w:r>
        <w:rPr>
          <w:rFonts w:ascii="Liberation Serif" w:hAnsi="Liberation Serif" w:eastAsia="Segoe UI"/>
          <w:i/>
          <w:iCs/>
          <w:lang w:val="en-US" w:eastAsia="en-US" w:bidi="en-US"/>
        </w:rPr>
        <w:t xml:space="preserve"> a partir do qual a execução da prestação deixa de ser útil e enseja a substituição da multa moratória pela multa compensatória, além da extinção do contrato. Lembre-se que esse modelo é apenas uma sugestão; é possível escalonar as multas conforme os dias de atraso, por exemplo.</w:t>
      </w:r>
    </w:p>
  </w:comment>
  <w:comment w:id="16" w:author="Autor" w:date="0-00-00T00:00:00Z" w:initials="A">
    <w:p>
      <w:pPr>
        <w:overflowPunct w:val="false"/>
        <w:rPr/>
      </w:pPr>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Os prazos e percentuais para a aplicação da multa moratória em caso de atraso na apresentação da garantia são aqueles indicados nas alíneas "e" e "f" do item 3.1 do Anexo VII-F da Instrução Normativa SEGES/MP n.º 05/2017, cuja aplicação aos processos regidos pela Lei n.º 14.133, de 2021, foi autorizada pela Instrução Normativa SEGES/ME nº 98, de 26 de dezembro de 2022.</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Recomenda-se suprimir a sanção relativa à apresentação, reposição ou suplementação da garantia caso esta não seja exigida para a contratação.</w:t>
      </w:r>
    </w:p>
  </w:comment>
  <w:comment w:id="18" w:author="Autor" w:date="0-00-00T00:00:00Z" w:initials="A">
    <w:p>
      <w:pPr>
        <w:overflowPunct w:val="false"/>
        <w:rPr/>
      </w:pPr>
      <w:r>
        <w:rPr>
          <w:rFonts w:ascii="Liberation Serif" w:hAnsi="Liberation Serif" w:eastAsia="Segoe UI"/>
          <w:lang w:val="en-US" w:eastAsia="en-US" w:bidi="en-US"/>
        </w:rPr>
        <w:t xml:space="preserve">Nota Explicativa: A redação é apenas exemplificativa. A ideia é que haja uma multa maior para infrações mais graves e menor para infrações menos graves. Segundo a própria Lei, as infrações sujeitas à declaração inidoneidade são mais graves que as sujeitas à pena de impedimento. </w:t>
      </w:r>
    </w:p>
  </w:comment>
  <w:comment w:id="17" w:author="Autor" w:date="0-00-00T00:00:00Z" w:initials="A">
    <w:p>
      <w:pPr>
        <w:overflowPunct w:val="false"/>
        <w:rPr/>
      </w:pPr>
      <w:r>
        <w:rPr>
          <w:rFonts w:ascii="Liberation Serif" w:hAnsi="Liberation Serif" w:eastAsia="Segoe UI"/>
          <w:lang w:val="en-US" w:eastAsia="en-US" w:bidi="en-US"/>
        </w:rPr>
        <w:t xml:space="preserve">Nota Explicativa: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pPr>
        <w:overflowPunct w:val="false"/>
        <w:rPr/>
      </w:pPr>
      <w:r>
        <w:rPr>
          <w:rFonts w:ascii="Liberation Serif" w:hAnsi="Liberation Serif" w:eastAsia="Segoe UI"/>
          <w:i/>
          <w:iCs/>
          <w:color w:val="333333"/>
          <w:lang w:val="en-US" w:eastAsia="en-US" w:bidi="en-US"/>
        </w:rPr>
        <w:t xml:space="preserve">Referidos limites são aplicáveis à </w:t>
      </w:r>
      <w:r>
        <w:rPr>
          <w:rFonts w:ascii="Liberation Serif" w:hAnsi="Liberation Serif" w:eastAsia="Segoe UI"/>
          <w:b/>
          <w:bCs/>
          <w:i/>
          <w:iCs/>
          <w:color w:val="333333"/>
          <w:lang w:val="en-US" w:eastAsia="en-US" w:bidi="en-US"/>
        </w:rPr>
        <w:t>multa compensatória</w:t>
      </w:r>
      <w:r>
        <w:rPr>
          <w:rFonts w:ascii="Liberation Serif" w:hAnsi="Liberation Serif" w:eastAsia="Segoe UI"/>
          <w:i/>
          <w:iCs/>
          <w:color w:val="333333"/>
          <w:lang w:val="en-US" w:eastAsia="en-US" w:bidi="en-US"/>
        </w:rPr>
        <w:t xml:space="preserve">, prevista no art. 156, inciso II, da Lei n.º 14.133/2021, e não à multa moratória, disciplinada no art. 162, da Lei n.º 14.133/2021, em relação à qual a Lei n.º 14.133/2021 não estabeleceu os respectivos parâmetros. Entende-se que o limite máximo para a multa moratória consiste no </w:t>
      </w:r>
      <w:r>
        <w:rPr>
          <w:rFonts w:ascii="Liberation Serif" w:hAnsi="Liberation Serif" w:eastAsia="Segoe UI"/>
          <w:b/>
          <w:bCs/>
          <w:i/>
          <w:iCs/>
          <w:color w:val="333333"/>
          <w:lang w:val="en-US" w:eastAsia="en-US" w:bidi="en-US"/>
        </w:rPr>
        <w:t>valor da obrigação contratual principal</w:t>
      </w:r>
      <w:r>
        <w:rPr>
          <w:rFonts w:ascii="Liberation Serif" w:hAnsi="Liberation Serif" w:eastAsia="Segoe UI"/>
          <w:i/>
          <w:iCs/>
          <w:color w:val="333333"/>
          <w:lang w:val="en-US" w:eastAsia="en-US" w:bidi="en-US"/>
        </w:rPr>
        <w:t xml:space="preserve">, com base no art. 412 do Código Civil, aplicável aos contratos administrativos por força do caput do art. 89 da Lei n.º 14.133/2021, excluindo-se, com isso, a aplicação subsidiária da Lei de Usura e da Lei 9.430/1996 ("Dispõe sobre a legislação tributária federal, as contribuições para a seguridade social, o processo administrativo de consulta"). </w:t>
      </w:r>
    </w:p>
    <w:p>
      <w:pPr>
        <w:overflowPunct w:val="false"/>
        <w:rPr/>
      </w:pPr>
      <w:r>
        <w:rPr>
          <w:rFonts w:ascii="Liberation Serif" w:hAnsi="Liberation Serif" w:eastAsia="Segoe UI"/>
          <w:i/>
          <w:iCs/>
          <w:color w:val="333333"/>
          <w:lang w:val="en-US" w:eastAsia="en-US" w:bidi="en-US"/>
        </w:rPr>
        <w:t xml:space="preserve">Esse é o entendimento sustentado no </w:t>
      </w:r>
      <w:r>
        <w:rPr>
          <w:rFonts w:ascii="Liberation Serif" w:hAnsi="Liberation Serif" w:eastAsia="Segoe UI"/>
          <w:b/>
          <w:bCs/>
          <w:i/>
          <w:iCs/>
          <w:color w:val="333333"/>
          <w:lang w:val="en-US" w:eastAsia="en-US" w:bidi="en-US"/>
        </w:rPr>
        <w:t>PARECER n. 00008/2020/CPLC/DEPCONSU/PGF/AGU</w:t>
      </w:r>
      <w:r>
        <w:rPr>
          <w:rFonts w:ascii="Liberation Serif" w:hAnsi="Liberation Serif" w:eastAsia="Segoe UI"/>
          <w:i/>
          <w:iCs/>
          <w:color w:val="333333"/>
          <w:lang w:val="en-US" w:eastAsia="en-US" w:bidi="en-US"/>
        </w:rPr>
        <w:t xml:space="preserve"> (NUP 21181.000350/2020-17) e que, inclusive, foi expressamente adotado pelo T</w:t>
      </w:r>
      <w:r>
        <w:rPr>
          <w:rFonts w:ascii="Liberation Serif" w:hAnsi="Liberation Serif" w:eastAsia="Segoe UI"/>
          <w:b/>
          <w:bCs/>
          <w:i/>
          <w:iCs/>
          <w:color w:val="333333"/>
          <w:lang w:val="en-US" w:eastAsia="en-US" w:bidi="en-US"/>
        </w:rPr>
        <w:t>CU no Acórdão 1685/2021 – Plenário,</w:t>
      </w:r>
      <w:r>
        <w:rPr>
          <w:rFonts w:ascii="Liberation Serif" w:hAnsi="Liberation Serif" w:eastAsia="Segoe UI"/>
          <w:i/>
          <w:iCs/>
          <w:color w:val="333333"/>
          <w:lang w:val="en-US" w:eastAsia="en-US" w:bidi="en-US"/>
        </w:rPr>
        <w:t xml:space="preserve"> por meio do qual o Tribunal considerou oportuno reavaliar a adoção da Lei de Usura como critério apto a nortear o percentual máximo da multa moratória aplicável aos contratos administrativos. </w:t>
      </w:r>
    </w:p>
  </w:comment>
  <w:comment w:id="19"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2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7º, inciso I, </w:t>
      </w:r>
      <w:hyperlink r:id="rId18">
        <w:r>
          <w:rPr>
            <w:rFonts w:ascii="Liberation Serif" w:hAnsi="Liberation Serif" w:eastAsia="Segoe UI"/>
            <w:i/>
            <w:iCs/>
            <w:color w:val="000000"/>
            <w:lang w:val="en-US" w:eastAsia="en-US" w:bidi="en-US"/>
          </w:rPr>
          <w:t>da Instrução Normativa SEGES/ME nº 77, de 4 de novembro de 2022</w:t>
        </w:r>
      </w:hyperlink>
      <w:r>
        <w:rPr>
          <w:rFonts w:ascii="Liberation Serif" w:hAnsi="Liberation Serif" w:eastAsia="Segoe UI"/>
          <w:i/>
          <w:iCs/>
          <w:color w:val="000000"/>
          <w:lang w:val="en-US" w:eastAsia="en-US" w:bidi="en-US"/>
        </w:rPr>
        <w:t xml:space="preserve">, estabelece o prazo de 10 (dez dias) úteis para a liquidação da despesa, </w:t>
      </w:r>
      <w:r>
        <w:rPr>
          <w:rFonts w:ascii="Liberation Serif" w:hAnsi="Liberation Serif" w:eastAsia="Segoe UI"/>
          <w:b/>
          <w:bCs/>
          <w:i/>
          <w:iCs/>
          <w:color w:val="000000"/>
          <w:lang w:val="en-US" w:eastAsia="en-US" w:bidi="en-US"/>
        </w:rPr>
        <w:t xml:space="preserve">a contar do recebimento da nota fiscal ou instrumento de cobrança equivalente </w:t>
      </w:r>
      <w:r>
        <w:rPr>
          <w:rFonts w:ascii="Liberation Serif" w:hAnsi="Liberation Serif" w:eastAsia="Segoe UI"/>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hAnsi="Liberation Serif" w:eastAsia="Segoe UI"/>
          <w:b/>
          <w:bCs/>
          <w:i/>
          <w:iCs/>
          <w:color w:val="000000"/>
          <w:lang w:val="en-US" w:eastAsia="en-US" w:bidi="en-US"/>
        </w:rPr>
        <w:t>o prazo máximo de 10 dias úteis deverá ser suficiente para as providências de recebimentos provisório, definitivo e de liquidação</w:t>
      </w:r>
      <w:r>
        <w:rPr>
          <w:rFonts w:ascii="Liberation Serif" w:hAnsi="Liberation Serif" w:eastAsia="Segoe UI"/>
          <w:i/>
          <w:iCs/>
          <w:color w:val="000000"/>
          <w:lang w:val="en-US" w:eastAsia="en-US" w:bidi="en-US"/>
        </w:rPr>
        <w:t xml:space="preserve">. Assim, embora a </w:t>
      </w:r>
      <w:hyperlink r:id="rId19">
        <w:r>
          <w:rPr>
            <w:rFonts w:ascii="Liberation Serif" w:hAnsi="Liberation Serif" w:eastAsia="Segoe UI"/>
            <w:i/>
            <w:iCs/>
            <w:color w:val="000000"/>
            <w:lang w:val="en-US" w:eastAsia="en-US" w:bidi="en-US"/>
          </w:rPr>
          <w:t>Lei nº 14.133/21</w:t>
        </w:r>
      </w:hyperlink>
      <w:r>
        <w:rPr>
          <w:rFonts w:ascii="Liberation Serif" w:hAnsi="Liberation Serif" w:eastAsia="Segoe UI"/>
          <w:i/>
          <w:iCs/>
          <w:color w:val="000000"/>
          <w:lang w:val="en-US" w:eastAsia="en-US" w:bidi="en-US"/>
        </w:rPr>
        <w:t xml:space="preserve"> não fixe prazo máximo de recebimento definitivo, este prazo deverá ser inferior ao fixado para liquidação de despesa pela </w:t>
      </w:r>
      <w:hyperlink r:id="rId20">
        <w:r>
          <w:rPr>
            <w:rFonts w:ascii="Liberation Serif" w:hAnsi="Liberation Serif" w:eastAsia="Segoe UI"/>
            <w:i/>
            <w:iCs/>
            <w:color w:val="000000"/>
            <w:lang w:val="en-US" w:eastAsia="en-US" w:bidi="en-US"/>
          </w:rPr>
          <w:t>IN SEGES/ME nº 77, de 2022</w:t>
        </w:r>
      </w:hyperlink>
      <w:r>
        <w:rPr>
          <w:rFonts w:ascii="Liberation Serif" w:hAnsi="Liberation Serif" w:eastAsia="Segoe UI"/>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21"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Observar que o artigo 7º, §2º, </w:t>
      </w:r>
      <w:hyperlink r:id="rId21">
        <w:r>
          <w:rPr>
            <w:rFonts w:ascii="Liberation Serif" w:hAnsi="Liberation Serif" w:eastAsia="Segoe UI"/>
            <w:i/>
            <w:iCs/>
            <w:color w:val="000000"/>
            <w:lang w:val="en-US" w:eastAsia="en-US" w:bidi="en-US"/>
          </w:rPr>
          <w:t>da Instrução Normativa nº 77, de 2022</w:t>
        </w:r>
      </w:hyperlink>
      <w:r>
        <w:rPr>
          <w:rFonts w:ascii="Liberation Serif" w:hAnsi="Liberation Serif" w:eastAsia="Segoe UI"/>
          <w:i/>
          <w:iCs/>
          <w:color w:val="000000"/>
          <w:lang w:val="en-US" w:eastAsia="en-US" w:bidi="en-US"/>
        </w:rPr>
        <w:t xml:space="preserve">, prevê que “Para as contratações decorrentes de despesas cujos valores não ultrapassem o limite de que trata o inciso II do </w:t>
      </w:r>
      <w:hyperlink r:id="rId22">
        <w:r>
          <w:rPr>
            <w:rFonts w:ascii="Liberation Serif" w:hAnsi="Liberation Serif" w:eastAsia="Segoe UI"/>
            <w:i/>
            <w:iCs/>
            <w:color w:val="000000"/>
            <w:lang w:val="en-US" w:eastAsia="en-US" w:bidi="en-US"/>
          </w:rPr>
          <w:t>art. 75 da Lei nº 14.133, de 2021</w:t>
        </w:r>
      </w:hyperlink>
      <w:r>
        <w:rPr>
          <w:rFonts w:ascii="Liberation Serif" w:hAnsi="Liberation Serif" w:eastAsia="Segoe UI"/>
          <w:i/>
          <w:iCs/>
          <w:color w:val="000000"/>
          <w:lang w:val="en-US" w:eastAsia="en-US" w:bidi="en-US"/>
        </w:rPr>
        <w:t xml:space="preserve">, os prazos de que dos incisos I e II do caput </w:t>
      </w:r>
      <w:r>
        <w:rPr>
          <w:rFonts w:ascii="Liberation Serif" w:hAnsi="Liberation Serif" w:eastAsia="Segoe UI"/>
          <w:b/>
          <w:bCs/>
          <w:i/>
          <w:iCs/>
          <w:color w:val="000000"/>
          <w:lang w:val="en-US" w:eastAsia="en-US" w:bidi="en-US"/>
        </w:rPr>
        <w:t>serão reduzidos pela metade</w:t>
      </w:r>
      <w:r>
        <w:rPr>
          <w:rFonts w:ascii="Liberation Serif" w:hAnsi="Liberation Serif" w:eastAsia="Segoe UI"/>
          <w:i/>
          <w:iCs/>
          <w:color w:val="000000"/>
          <w:lang w:val="en-US" w:eastAsia="en-US" w:bidi="en-US"/>
        </w:rPr>
        <w:t>.” (g.n). Como o prazo máximo de liquidação será reduzido pela metade, então o prazo de recebimento também deverá ser ajustado.</w:t>
      </w:r>
    </w:p>
  </w:comment>
  <w:comment w:id="2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w:t>
      </w:r>
    </w:p>
  </w:comment>
  <w:comment w:id="2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24"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i/>
          <w:iCs/>
          <w:lang w:val="en-US" w:eastAsia="en-US" w:bidi="en-US"/>
        </w:rPr>
        <w:t>A previsão da admissibilidade da cessão de credito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pPr>
        <w:overflowPunct w:val="false"/>
        <w:rPr/>
      </w:pPr>
      <w:r>
        <w:rPr>
          <w:rFonts w:ascii="Liberation Serif" w:hAnsi="Liberation Serif" w:eastAsia="Segoe UI"/>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Por essa razão, tendo ou não a clausula, a cessão é admitida. Recomenda-se manter a disposição em razão das regras previstas no Parecer JL-01/2020, salvo se a cláusula for modificada para que conste uma vedação à cessão de crédito.</w:t>
      </w:r>
    </w:p>
  </w:comment>
  <w:comment w:id="25" w:author="Autor" w:date="0-00-00T00:00:00Z" w:initials="A">
    <w:p>
      <w:pPr>
        <w:overflowPunct w:val="false"/>
        <w:rPr/>
      </w:pPr>
      <w:r>
        <w:rPr>
          <w:rFonts w:ascii="Liberation Serif" w:hAnsi="Liberation Serif" w:eastAsia="Segoe UI"/>
          <w:b/>
          <w:bCs/>
          <w:lang w:val="en-US" w:eastAsia="en-US" w:bidi="en-US"/>
        </w:rPr>
        <w:t xml:space="preserve">Nota Explicativa: </w:t>
      </w:r>
      <w:r>
        <w:rPr>
          <w:rFonts w:ascii="Liberation Serif" w:hAnsi="Liberation Serif" w:eastAsia="Segoe UI"/>
          <w:lang w:val="en-US" w:eastAsia="en-US" w:bidi="en-US"/>
        </w:rPr>
        <w:t>No caso desse subitem, o órgão contratante pode optar por mudar a redação para já vedar de plano as cessões de crédito</w:t>
      </w:r>
    </w:p>
  </w:comment>
  <w:comment w:id="2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condicionamentos desses subitens decorrem das conclusões do Parecer JL-01, de 18 de maio de 2020.</w:t>
      </w:r>
    </w:p>
  </w:comment>
  <w:comment w:id="27" w:author="Autor" w:date="0-00-00T00:00:00Z" w:initials="A">
    <w:p>
      <w:pPr>
        <w:overflowPunct w:val="false"/>
        <w:rPr/>
      </w:pPr>
      <w:r>
        <w:rPr>
          <w:rFonts w:ascii="Liberation Serif" w:hAnsi="Liberation Serif" w:eastAsia="Segoe UI"/>
          <w:lang w:val="en-US" w:eastAsia="en-US" w:bidi="en-US"/>
        </w:rPr>
        <w:t>A Instrução Normativa SEGES/MGI nº 82/2025 enquadrou o AntecipaGov como uma operação de crédito comum. Não mais como uma cessão de crédito.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 xml:space="preserve">Uma mudança de entendimento correta, já que, pelo funcionamento do sistema, o pagamento à contratada é perfectibilizado, já que feito em conta de sua titularidade, sem qualquer cessão de crédito.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Mesmo se houver a necessidade de "resgate" pela instituição financeira dos valores depositados nessa conta, como esta é do contratado, não é uma cessao de crédito, de haveres futuros, mas sim uma simples transferência pelo contratado à instituição financeira. O Antecipagov possibilita que se coloque como garantia, em operações de credito, o valor recebido a título de pagamentos contratuais, mas não haveres futuros, já que o pagamento ainda é feito à contratada e não à instituição financeira.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Não sendo, portanto, uma cessão de crédito, nem mesmo fiduciária, a operação não é regulada pelo Parecer JL-01, de 2020 ou por esta seção. Nesse sentido, a própria Instrução Normativa dispõe que "A ausência de previsão expressa no contrato ou no termo de referência não impede a realização</w:t>
      </w:r>
    </w:p>
    <w:p>
      <w:pPr>
        <w:overflowPunct w:val="false"/>
        <w:rPr/>
      </w:pPr>
      <w:r>
        <w:rPr>
          <w:rFonts w:ascii="Liberation Serif" w:hAnsi="Liberation Serif" w:eastAsia="Segoe UI"/>
          <w:lang w:val="en-US" w:eastAsia="en-US" w:bidi="en-US"/>
        </w:rPr>
        <w:t xml:space="preserve"> de operação de crédito no Portal AntecipaGov".</w:t>
      </w:r>
    </w:p>
  </w:comment>
  <w:comment w:id="29"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rFonts w:ascii="Liberation Serif" w:hAnsi="Liberation Serif" w:eastAsia="Segoe UI"/>
          <w:b/>
          <w:bCs/>
          <w:i/>
          <w:iCs/>
          <w:lang w:val="en-US" w:eastAsia="en-US" w:bidi="en-US"/>
        </w:rPr>
        <w:t xml:space="preserve"> sua concessão ex officio pela Administração deve ser a regra,</w:t>
      </w:r>
      <w:r>
        <w:rPr>
          <w:rFonts w:ascii="Liberation Serif" w:hAnsi="Liberation Serif" w:eastAsia="Segoe UI"/>
          <w:i/>
          <w:iCs/>
          <w:lang w:val="en-US" w:eastAsia="en-US" w:bidi="en-US"/>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rFonts w:ascii="Liberation Serif" w:hAnsi="Liberation Serif" w:eastAsia="Segoe UI"/>
          <w:b/>
          <w:bCs/>
          <w:i/>
          <w:iCs/>
          <w:lang w:val="en-US" w:eastAsia="en-US" w:bidi="en-US"/>
        </w:rPr>
        <w:t>desde que cumulativamente:</w:t>
      </w:r>
      <w:r>
        <w:rPr>
          <w:rFonts w:ascii="Liberation Serif" w:hAnsi="Liberation Serif" w:eastAsia="Segoe UI"/>
          <w:i/>
          <w:iCs/>
          <w:lang w:val="en-US" w:eastAsia="en-US" w:bidi="en-US"/>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rFonts w:ascii="Liberation Serif" w:hAnsi="Liberation Serif" w:eastAsia="Segoe UI"/>
          <w:b/>
          <w:bCs/>
          <w:i/>
          <w:iCs/>
          <w:lang w:val="en-US" w:eastAsia="en-US" w:bidi="en-US"/>
        </w:rPr>
        <w:t>motivação idônea</w:t>
      </w:r>
      <w:r>
        <w:rPr>
          <w:rFonts w:ascii="Liberation Serif" w:hAnsi="Liberation Serif" w:eastAsia="Segoe UI"/>
          <w:i/>
          <w:iCs/>
          <w:lang w:val="en-US" w:eastAsia="en-US" w:bidi="en-US"/>
        </w:rPr>
        <w:t xml:space="preserve"> nos autos do processo administrativo, promovendo as respectivas adequações na cláusula sétima da minuta de termo de contrato. </w:t>
      </w:r>
    </w:p>
  </w:comment>
  <w:comment w:id="28"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30" w:author="Autor" w:date="0-00-00T00:00:00Z" w:initials="A">
    <w:p>
      <w:pPr>
        <w:overflowPunct w:val="false"/>
        <w:rPr/>
      </w:pPr>
      <w:r>
        <w:rPr>
          <w:rFonts w:ascii="Liberation Serif" w:hAnsi="Liberation Serif" w:eastAsia="Segoe UI"/>
          <w:b/>
          <w:bCs/>
          <w:i/>
          <w:iCs/>
          <w:lang w:val="en-US" w:eastAsia="en-US" w:bidi="en-US"/>
        </w:rPr>
        <w:t xml:space="preserve">Nota Explicativa 1: </w:t>
      </w:r>
      <w:r>
        <w:rPr>
          <w:rFonts w:ascii="Liberation Serif" w:hAnsi="Liberation Serif" w:eastAsia="Segoe UI"/>
          <w:i/>
          <w:iCs/>
          <w:lang w:val="en-US" w:eastAsia="en-US" w:bidi="en-US"/>
        </w:rPr>
        <w:t>Para o caso de contratação direta, adequar o título da subseção e registrar a justificativa para a dispensa ou inexigibilidade de licitação.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A Lei n.º 14.133, de 2021, ao contrário da Lei n.º 8.666, de 1993, não define as modalidades de licitação em razão do valor do objeto, mas, sim, em razão de sua natureza ou complexidade. Assim, enquanto o pregão é a modalidade de licitação obrigatória para aquisição de bens e serviços comuns (art. 6º, inciso XLI, c/c art. 29), exclusivamente pelos critérios de julgamento de menor preço ou maior desconto, a concorrência é a modalidade cabível para a contratação de bens e serviços especiais e de obras e serviços comuns e especiais de engenharia (art. 6º, inciso XXXVIII, c/c o art. 29), pelos critérios de menor preço, melhor técnica ou conteúdo artístico, técnica e preço, maior retorno econômico e maior desconto. A Administração deverá atentar para o regramento legal e definir a modalidade de licitação e o critério de julgamento a serem adotados, conforme a natureza do objeto e suas especificidades. </w:t>
      </w:r>
    </w:p>
  </w:comment>
  <w:comment w:id="31" w:author="Autor" w:date="0-00-00T00:00:00Z" w:initials="A">
    <w:p>
      <w:pPr>
        <w:overflowPunct w:val="false"/>
        <w:rPr/>
      </w:pPr>
      <w:r>
        <w:rPr>
          <w:rFonts w:ascii="Liberation Serif" w:hAnsi="Liberation Serif" w:eastAsia="Segoe UI"/>
          <w:lang w:val="en-US" w:eastAsia="en-US" w:bidi="en-US"/>
        </w:rPr>
        <w:t xml:space="preserve">Nota Explicativa: A previsão é aplicável no âmbito do Sistema de Registro de Preços e decorre do disposto no art. 13, inciso I, do Decreto n.º 11.462, de 31 de março de 2023. </w:t>
      </w:r>
    </w:p>
  </w:comment>
  <w:comment w:id="3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fundamental que a Administração observe que exigências demasiadas poderão prejudicar a competitividade da licitação e ofender a o disposto no </w:t>
      </w:r>
      <w:hyperlink r:id="rId23">
        <w:r>
          <w:rPr>
            <w:rFonts w:ascii="Liberation Serif" w:hAnsi="Liberation Serif" w:eastAsia="Segoe UI"/>
            <w:i/>
            <w:iCs/>
            <w:color w:val="000000"/>
            <w:lang w:val="en-US" w:eastAsia="en-US" w:bidi="en-US"/>
          </w:rPr>
          <w:t>art. 37, inciso XXI da Constituição Federal</w:t>
        </w:r>
      </w:hyperlink>
      <w:r>
        <w:rPr>
          <w:rFonts w:ascii="Liberation Serif" w:hAnsi="Liberation Serif" w:eastAsia="Segoe UI"/>
          <w:i/>
          <w:iCs/>
          <w:color w:val="000000"/>
          <w:lang w:val="en-US" w:eastAsia="en-US" w:bidi="en-US"/>
        </w:rPr>
        <w:t>, o qual preceitua que “o processo de licitação pública... somente permitirá as exigências de qualificação técnica e econômica indispensáveis à garantia do cumprimento das obrigações”.</w:t>
      </w:r>
    </w:p>
    <w:p>
      <w:pPr>
        <w:overflowPunct w:val="false"/>
        <w:rPr/>
      </w:pPr>
      <w:r>
        <w:rPr>
          <w:rFonts w:ascii="Liberation Serif" w:hAnsi="Liberation Serif" w:eastAsia="Segoe UI"/>
          <w:i/>
          <w:iCs/>
          <w:color w:val="000000"/>
          <w:lang w:val="en-US" w:eastAsia="en-US" w:bidi="en-US"/>
        </w:rPr>
        <w:t>O</w:t>
      </w:r>
      <w:hyperlink r:id="rId24">
        <w:r>
          <w:rPr>
            <w:rFonts w:ascii="Liberation Serif" w:hAnsi="Liberation Serif" w:eastAsia="Segoe UI"/>
            <w:i/>
            <w:iCs/>
            <w:color w:val="000000"/>
            <w:lang w:val="en-US" w:eastAsia="en-US" w:bidi="en-US"/>
          </w:rPr>
          <w:t xml:space="preserve"> art. 70, III, da Lei Nº 14.133/2021</w:t>
        </w:r>
      </w:hyperlink>
      <w:r>
        <w:rPr>
          <w:rFonts w:ascii="Liberation Serif" w:hAnsi="Liberation Serif" w:eastAsia="Segoe UI"/>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pPr>
        <w:overflowPunct w:val="false"/>
        <w:rPr/>
      </w:pPr>
      <w:r>
        <w:rPr>
          <w:rFonts w:ascii="Liberation Serif" w:hAnsi="Liberation Serif" w:eastAsia="Segoe UI"/>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pPr>
        <w:overflowPunct w:val="false"/>
        <w:rPr/>
      </w:pPr>
      <w:r>
        <w:rPr>
          <w:rFonts w:ascii="Liberation Serif" w:hAnsi="Liberation Serif" w:eastAsia="Segoe UI"/>
          <w:i/>
          <w:iCs/>
          <w:color w:val="000000"/>
          <w:lang w:val="en-US" w:eastAsia="en-US" w:bidi="en-US"/>
        </w:rPr>
        <w:t>Em contratações divididas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pPr>
        <w:overflowPunct w:val="false"/>
        <w:rPr/>
      </w:pPr>
      <w:r>
        <w:rPr>
          <w:rFonts w:ascii="Liberation Serif" w:hAnsi="Liberation Serif" w:eastAsia="Segoe UI"/>
          <w:i/>
          <w:iCs/>
          <w:color w:val="000000"/>
          <w:lang w:val="en-US" w:eastAsia="en-US" w:bidi="en-US"/>
        </w:rPr>
        <w:t>É vedada a inclusão de requisitos que não tenham suporte nos arts. 66 a 69 da Lei nº 14.133, de 2021.</w:t>
      </w:r>
    </w:p>
  </w:comment>
  <w:comment w:id="3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25">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26">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pPr>
        <w:overflowPunct w:val="false"/>
        <w:rPr/>
      </w:pPr>
      <w:r>
        <w:rPr>
          <w:rFonts w:ascii="Liberation Serif" w:hAnsi="Liberation Serif" w:eastAsia="Segoe UI"/>
          <w:i/>
          <w:iCs/>
          <w:color w:val="000000"/>
          <w:lang w:val="en-US" w:eastAsia="en-US" w:bidi="en-US"/>
        </w:rPr>
        <w:t xml:space="preserve">A </w:t>
      </w:r>
      <w:hyperlink r:id="rId27">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pPr>
        <w:overflowPunct w:val="false"/>
        <w:rPr/>
      </w:pPr>
      <w:r>
        <w:rPr>
          <w:rFonts w:ascii="Liberation Serif" w:hAnsi="Liberation Serif" w:eastAsia="Segoe UI"/>
          <w:i/>
          <w:iCs/>
          <w:color w:val="000000"/>
          <w:lang w:val="en-US" w:eastAsia="en-US" w:bidi="en-US"/>
        </w:rPr>
        <w:t xml:space="preserve">O </w:t>
      </w:r>
      <w:hyperlink r:id="rId28">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3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w:t>
      </w:r>
      <w:hyperlink r:id="rId29">
        <w:r>
          <w:rPr>
            <w:rFonts w:ascii="Liberation Serif" w:hAnsi="Liberation Serif" w:eastAsia="Segoe UI"/>
            <w:i/>
            <w:iCs/>
            <w:color w:val="000000"/>
            <w:lang w:val="en-US" w:eastAsia="en-US" w:bidi="en-US"/>
          </w:rPr>
          <w:t>Instrução Normativa 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30">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pPr>
        <w:overflowPunct w:val="false"/>
        <w:rPr/>
      </w:pPr>
      <w:r>
        <w:rPr>
          <w:rFonts w:ascii="Liberation Serif" w:hAnsi="Liberation Serif" w:eastAsia="Segoe UI"/>
          <w:i/>
          <w:iCs/>
          <w:color w:val="000000"/>
          <w:lang w:val="en-US" w:eastAsia="en-US" w:bidi="en-US"/>
        </w:rPr>
        <w:t xml:space="preserve">A IN SEGES/ME nº 116, de 2021,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pPr>
        <w:overflowPunct w:val="false"/>
        <w:rPr/>
      </w:pPr>
      <w:r>
        <w:rPr>
          <w:rFonts w:ascii="Liberation Serif" w:hAnsi="Liberation Serif" w:eastAsia="Segoe UI"/>
          <w:i/>
          <w:iCs/>
          <w:color w:val="000000"/>
          <w:lang w:val="en-US" w:eastAsia="en-US" w:bidi="en-US"/>
        </w:rPr>
        <w:t xml:space="preserve">O </w:t>
      </w:r>
      <w:hyperlink r:id="rId31">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w:t>
      </w:r>
      <w:hyperlink r:id="rId32">
        <w:r>
          <w:rPr>
            <w:rFonts w:ascii="Liberation Serif" w:hAnsi="Liberation Serif" w:eastAsia="Segoe UI"/>
            <w:i/>
            <w:iCs/>
            <w:color w:val="000000"/>
            <w:lang w:val="en-US" w:eastAsia="en-US" w:bidi="en-US"/>
          </w:rPr>
          <w:t>Lei nº 7.116, de 29 de agosto de 1983</w:t>
        </w:r>
      </w:hyperlink>
      <w:r>
        <w:rPr>
          <w:rFonts w:ascii="Liberation Serif" w:hAnsi="Liberation Serif" w:eastAsia="Segoe UI"/>
          <w:i/>
          <w:iCs/>
          <w:color w:val="000000"/>
          <w:lang w:val="en-US" w:eastAsia="en-US" w:bidi="en-US"/>
        </w:rPr>
        <w:t xml:space="preserve">, e a </w:t>
      </w:r>
      <w:r>
        <w:fldChar w:fldCharType="begin"/>
      </w:r>
      <w:r>
        <w:instrText xml:space="preserve"> HYPERLINK "http://www.planalto.gov.br/ccivil_03/leis/l9454.htm" \l "art3"</w:instrText>
      </w:r>
      <w:r>
        <w:fldChar w:fldCharType="separate"/>
      </w:r>
      <w:r>
        <w:rPr>
          <w:rFonts w:ascii="Liberation Serif" w:hAnsi="Liberation Serif" w:eastAsia="Segoe UI"/>
          <w:i/>
          <w:iCs/>
          <w:color w:val="000000"/>
          <w:lang w:val="en-US" w:eastAsia="en-US" w:bidi="en-US"/>
        </w:rPr>
        <w:t>Lei nº 9.454, de 7 de abril de 1997</w:t>
      </w:r>
      <w:r>
        <w:fldChar w:fldCharType="end"/>
      </w:r>
      <w:r>
        <w:rPr>
          <w:rFonts w:ascii="Liberation Serif" w:hAnsi="Liberation Serif" w:eastAsia="Segoe UI"/>
          <w:i/>
          <w:iCs/>
          <w:color w:val="000000"/>
          <w:lang w:val="en-US" w:eastAsia="en-US" w:bidi="en-US"/>
        </w:rPr>
        <w:t>,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3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hyperlink r:id="rId33">
        <w:r>
          <w:rPr>
            <w:rFonts w:ascii="Liberation Serif" w:hAnsi="Liberation Serif" w:eastAsia="Segoe UI"/>
            <w:i/>
            <w:iCs/>
            <w:color w:val="000000"/>
            <w:lang w:val="en-US" w:eastAsia="en-US" w:bidi="en-US"/>
          </w:rPr>
          <w:t>art. 41 da Lei nº 14.195, de 26 de agosto de 2021</w:t>
        </w:r>
      </w:hyperlink>
      <w:r>
        <w:rPr>
          <w:rFonts w:ascii="Liberation Serif" w:hAnsi="Liberation Serif" w:eastAsia="Segoe UI"/>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pPr>
        <w:overflowPunct w:val="false"/>
        <w:rPr/>
      </w:pPr>
      <w:r>
        <w:rPr>
          <w:rFonts w:ascii="Liberation Serif" w:hAnsi="Liberation Serif" w:eastAsia="Segoe UI"/>
          <w:i/>
          <w:iCs/>
          <w:color w:val="000000"/>
          <w:lang w:val="en-US" w:eastAsia="en-US" w:bidi="en-US"/>
        </w:rPr>
        <w:t xml:space="preserve">Posteriormente, </w:t>
      </w:r>
      <w:hyperlink r:id="rId34">
        <w:r>
          <w:rPr>
            <w:rFonts w:ascii="Liberation Serif" w:hAnsi="Liberation Serif" w:eastAsia="Segoe UI"/>
            <w:i/>
            <w:iCs/>
            <w:color w:val="000000"/>
            <w:lang w:val="en-US" w:eastAsia="en-US" w:bidi="en-US"/>
          </w:rPr>
          <w:t>o inciso VI, alíneas “a” e “b”, art. 20, da Lei nº 14.382, de 27 de junho de 2022</w:t>
        </w:r>
      </w:hyperlink>
      <w:r>
        <w:rPr>
          <w:rFonts w:ascii="Liberation Serif" w:hAnsi="Liberation Serif" w:eastAsia="Segoe UI"/>
          <w:i/>
          <w:iCs/>
          <w:color w:val="000000"/>
          <w:lang w:val="en-US" w:eastAsia="en-US" w:bidi="en-US"/>
        </w:rPr>
        <w:t>, revogou as disposições sobre EIRELI constantes do inciso VI do caput do art. 44 e do Título I-A do Livro II da Parte Especial do Código Civil (</w:t>
      </w:r>
      <w:hyperlink r:id="rId35">
        <w:r>
          <w:rPr>
            <w:rFonts w:ascii="Liberation Serif" w:hAnsi="Liberation Serif" w:eastAsia="Segoe UI"/>
            <w:i/>
            <w:iCs/>
            <w:color w:val="000000"/>
            <w:lang w:val="en-US" w:eastAsia="en-US" w:bidi="en-US"/>
          </w:rPr>
          <w:t>Lei nº 10.406, de 10 de janeiro de 2002</w:t>
        </w:r>
      </w:hyperlink>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3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artigo 193 do Código Tributário Nacional (</w:t>
      </w:r>
      <w:hyperlink r:id="rId36">
        <w:r>
          <w:rPr>
            <w:rFonts w:ascii="Liberation Serif" w:hAnsi="Liberation Serif" w:eastAsia="Segoe UI"/>
            <w:i/>
            <w:iCs/>
            <w:color w:val="000000"/>
            <w:lang w:val="en-US" w:eastAsia="en-US" w:bidi="en-US"/>
          </w:rPr>
          <w:t>Lei nº 5.172, de 25 de outubro de 1966</w:t>
        </w:r>
      </w:hyperlink>
      <w:r>
        <w:rPr>
          <w:rFonts w:ascii="Liberation Serif" w:hAnsi="Liberation Serif" w:eastAsia="Segoe UI"/>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hyperlink r:id="rId37">
        <w:r>
          <w:rPr>
            <w:rFonts w:ascii="Liberation Serif" w:hAnsi="Liberation Serif" w:eastAsia="Segoe UI"/>
            <w:i/>
            <w:iCs/>
            <w:color w:val="000000"/>
            <w:lang w:val="en-US" w:eastAsia="en-US" w:bidi="en-US"/>
          </w:rPr>
          <w:t>o art. 68, inciso II, da Lei n.º 14.133, de 2021</w:t>
        </w:r>
      </w:hyperlink>
      <w:r>
        <w:rPr>
          <w:rFonts w:ascii="Liberation Serif" w:hAnsi="Liberation Serif" w:eastAsia="Segoe UI"/>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37" w:author="Autor" w:date="0-00-00T00:00:00Z" w:initials="A">
    <w:p>
      <w:pPr>
        <w:overflowPunct w:val="false"/>
        <w:rPr/>
      </w:pPr>
      <w:r>
        <w:rPr>
          <w:rFonts w:ascii="Liberation Serif" w:hAnsi="Liberation Serif" w:eastAsia="Segoe UI"/>
          <w:b/>
          <w:i/>
          <w:lang w:val="en-US" w:eastAsia="en-US" w:bidi="en-US"/>
        </w:rPr>
        <w:t xml:space="preserve">Nota Explicativa: </w:t>
      </w:r>
      <w:r>
        <w:rPr>
          <w:rFonts w:ascii="Liberation Serif" w:hAnsi="Liberation Serif" w:eastAsia="Segoe UI"/>
          <w:i/>
          <w:iCs/>
          <w:color w:val="000000"/>
          <w:lang w:val="en-US" w:eastAsia="en-US" w:bidi="en-US"/>
        </w:rPr>
        <w:t>A apresentação do Certificado de Condição de Microempreendedor Individual – CCMEI supre as exigências de inscrição nos cadastros fiscais, na medida em que essas informações constam no próprio Certificado.</w:t>
      </w:r>
    </w:p>
  </w:comment>
  <w:comment w:id="38"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documento. Conforme Nota Explicativa do início deste tópico, a exigência de qualificação técnica e econômica nas circunstâncias previstas no art. 70, III da </w:t>
      </w:r>
      <w:hyperlink r:id="rId38">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deve ser excepcional e justificada, à luz do </w:t>
      </w:r>
      <w:hyperlink r:id="rId39">
        <w:r>
          <w:rPr>
            <w:rFonts w:ascii="Liberation Serif" w:hAnsi="Liberation Serif" w:eastAsia="Segoe UI"/>
            <w:i/>
            <w:iCs/>
            <w:color w:val="000000"/>
            <w:lang w:val="en-US" w:eastAsia="en-US" w:bidi="en-US"/>
          </w:rPr>
          <w:t>art. 37, XXI, da Constituição Federal</w:t>
        </w:r>
      </w:hyperlink>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É possível adotar critérios de habilitação econômico-financeira com requisitos diferenciados, estabelecidos conforme as peculiaridades do objeto a ser contratado, com justificativa do percentual adotado nos autos do processo.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Nota Explicativa 3: Em se tratando de contratação direta não precedida de dispensa eletrônica, os aspectos da habilitação da empresa, sobretudo os ligados à qualificação técnica e econômica, podem estar discriminados no processo administrativo, ao se motivar a escolha do fornecedor, caso em que não precisam constar do Termo de Referência.</w:t>
      </w:r>
    </w:p>
  </w:comment>
  <w:comment w:id="39" w:author="Autor" w:date="0-00-00T00:00:00Z" w:initials="A">
    <w:p>
      <w:pPr>
        <w:overflowPunct w:val="false"/>
        <w:rPr/>
      </w:pPr>
      <w:r>
        <w:rPr>
          <w:rFonts w:ascii="Liberation Serif" w:hAnsi="Liberation Serif" w:eastAsia="Segoe UI"/>
          <w:lang w:val="en-US" w:eastAsia="en-US" w:bidi="en-US"/>
        </w:rPr>
        <w:t xml:space="preserve">Nota Explicativa 1: A Lei n.º 14.133 de 2021, em seu art. 69, inciso I, prevê que a prova de qualificação econômico-financeira do licitante será restrita à apresentação, dentre outros documentos, do balanço patrimonial, das demonstrações de resultado e demais demonstrações contábeis dos 2 (dois) últimos exercícios sociais, ampliando, com isso, o limite temporal da exigência constante do art. 31, inciso I, da Lei n.º 8.666 de 1993, que limitava a exigência à documentação relativa ao “último exercício social”. </w:t>
      </w:r>
    </w:p>
    <w:p>
      <w:pPr>
        <w:overflowPunct w:val="false"/>
        <w:rPr/>
      </w:pPr>
      <w:r>
        <w:rPr>
          <w:rFonts w:ascii="Liberation Serif" w:hAnsi="Liberation Serif" w:eastAsia="Segoe UI"/>
          <w:lang w:val="en-US" w:eastAsia="en-US" w:bidi="en-US"/>
        </w:rPr>
        <w:t xml:space="preserve">Ao interpretar a referida disposição, o PARECER n. 00017/2024/CNLCA/CGU/AGU (NUP: 08658.083758/2024-38) concluiu pela ausência de previsão legal expressa indicando que os índices previstos no caput do artigo 69 da Lei n.º 14.133, de 2021, devam necessariamente ser atingidos nos dois últimos exercícios, de modo que tal exigência “pode alcançar mais de um ano em hipóteses que estejam devidamente justificadas pela Administração.”, sendo conferida ao gestor, assim, “a possibilidade de modulação da exigência e limitá-la a um período menor, como por exemplo apenas o último exercício social”.  Nesse contexto, caberá ao gestor, em cada caso concreto, avaliar, fundamentadamente, a pertinência de exigir a prova de atendimento dos índices estabelecidos no edital em relação ao último ou aos dois últimos exercícios sociais, fixando apenas as exigências de qualificação econômico-financeiras consideradas indispensáveis à garantia do cumprimento das obrigações do futuro contrato, nos termos do art. 37, inciso XXI, da Constituição. Caso a Administração decida, de forma justificada, por estender a exigência aos dois últimos exercícios sociais, a apuração dos indicadores a serem atendidos deverá ser feita separadamente, em relação a cada um dos exercícios sociais, tal como se mostra usualmente adotado no âmbito da contabilidade (art. 69, § 5º, da Lei n.º 14.133, de 2021). </w:t>
      </w:r>
    </w:p>
  </w:comment>
  <w:comment w:id="41" w:author="Autor" w:date="0-00-00T00:00:00Z" w:initials="A">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Em se tratando de contratação direta não precedida de dispensa eletrônica, os critérios de habilitação, notadamente os de qualificação econômica e técnica, podem estar apontados no processo, na motivação para a escolha do fornecedor, situação em que poderão ser suprimidos do TR.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O </w:t>
      </w:r>
      <w:hyperlink r:id="rId40">
        <w:r>
          <w:rPr>
            <w:rFonts w:ascii="Liberation Serif" w:hAnsi="Liberation Serif" w:eastAsia="Segoe UI"/>
            <w:i/>
            <w:iCs/>
            <w:color w:val="000000"/>
            <w:lang w:val="en-US" w:eastAsia="en-US" w:bidi="en-US"/>
          </w:rPr>
          <w:t>art. 67 da Lei nº 14.133, de 2021</w:t>
        </w:r>
      </w:hyperlink>
      <w:r>
        <w:rPr>
          <w:rFonts w:ascii="Liberation Serif" w:hAnsi="Liberation Serif" w:eastAsia="Segoe UI"/>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41">
        <w:r>
          <w:rPr>
            <w:rFonts w:ascii="Liberation Serif" w:hAnsi="Liberation Serif" w:eastAsia="Segoe UI"/>
            <w:i/>
            <w:iCs/>
            <w:color w:val="000000"/>
            <w:lang w:val="en-US" w:eastAsia="en-US" w:bidi="en-US"/>
          </w:rPr>
          <w:t>artigo 37, inciso XXI, da Constituição Federal</w:t>
        </w:r>
      </w:hyperlink>
      <w:r>
        <w:rPr>
          <w:rFonts w:ascii="Liberation Serif" w:hAnsi="Liberation Serif" w:eastAsia="Segoe UI"/>
          <w:i/>
          <w:iCs/>
          <w:color w:val="000000"/>
          <w:lang w:val="en-US" w:eastAsia="en-US" w:bidi="en-US"/>
        </w:rPr>
        <w:t xml:space="preserve">, caso verifique que a medida é indispensável à garantia do cumprimento das obrigações pertinentes à execução do objeto. </w:t>
      </w:r>
    </w:p>
    <w:p>
      <w:pPr>
        <w:overflowPunct w:val="false"/>
        <w:rPr/>
      </w:pPr>
      <w:r>
        <w:rPr>
          <w:rFonts w:ascii="Liberation Serif" w:hAnsi="Liberation Serif" w:eastAsia="Segoe UI"/>
          <w:i/>
          <w:iCs/>
          <w:color w:val="000000"/>
          <w:lang w:val="en-US" w:eastAsia="en-US" w:bidi="en-US"/>
        </w:rPr>
        <w:t>Para tanto, recomenda-se que a Administração se utilize da interpretação extensiva das regras, limites e princípios que incidem em relação à prova de qualificação técnica dos interessados na contratação de serviços, observadas as peculiaridades das compras em cada caso concreto.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3: </w:t>
      </w:r>
      <w:r>
        <w:rPr>
          <w:rFonts w:ascii="Liberation Serif" w:hAnsi="Liberation Serif" w:eastAsia="Segoe UI"/>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4</w:t>
      </w:r>
      <w:r>
        <w:rPr>
          <w:rFonts w:ascii="Liberation Serif" w:hAnsi="Liberation Serif" w:eastAsia="Segoe UI"/>
          <w:i/>
          <w:iCs/>
          <w:color w:val="000000"/>
          <w:lang w:val="en-US" w:eastAsia="en-US" w:bidi="en-US"/>
        </w:rPr>
        <w:t>: Em relação à pessoa física ou jurídica que se caracterize como “potencial subcontratado”, é possível a previsão de exigência de atestados específicos, situação na qual mais de um interessado poderá apresentar atestado relativo ao mesmo potencial subcontratado. Nesse sentido é o teor do § 9º do art. 67 da Lei nº 14.133, de 2021:</w:t>
      </w:r>
    </w:p>
    <w:p>
      <w:pPr>
        <w:overflowPunct w:val="false"/>
        <w:rPr/>
      </w:pPr>
      <w:r>
        <w:rPr>
          <w:rFonts w:ascii="Liberation Serif" w:hAnsi="Liberation Serif" w:eastAsia="Segoe UI"/>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5: </w:t>
      </w:r>
      <w:r>
        <w:rPr>
          <w:rFonts w:ascii="Liberation Serif" w:hAnsi="Liberation Serif" w:eastAsia="Segoe UI"/>
          <w:i/>
          <w:iCs/>
          <w:lang w:val="en-US" w:eastAsia="en-US" w:bidi="en-US"/>
        </w:rPr>
        <w:t>As exigências habilitatórias não podem ultrapassar os limites da razoabilidade, além de não ser permitido o estabelecimento de cláusulas desnecessárias e restritivas ao caráter competitivo. Devem restringir-se apenas ao necessário para o cumprimento do objeto licitado. A documentação exigida e permitida quanto à qualificação técnica está elencada no art. 67 da Lei nº 14.133, de 2021.</w:t>
      </w:r>
    </w:p>
  </w:comment>
  <w:comment w:id="40"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Além de avaliar a pertinência de exigir qualificação técnica, o rigor das exigências também deve ser avaliado, promovendo-se adaptações pela área demandante em face do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 xml:space="preserve">Nota Explicativa 2: Conforme exposto na Nota Explicativa sobre os requisitos da contratação – vistoria –, essa declaração só deve ser exigida caso tenha sido considerada imprescindível a avaliação prévia do local de execução para o conhecimento pleno das condições e peculiaridades do objeto a ser contratado. </w:t>
      </w:r>
    </w:p>
  </w:comment>
  <w:comment w:id="42" w:author="Autor" w:date="0-00-00T00:00:00Z" w:initials="A">
    <w:p>
      <w:pPr>
        <w:overflowPunct w:val="false"/>
        <w:rPr/>
      </w:pPr>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A Lei 14133/21 não prevê apresentação de atestados para comprovação de qualificação técnica no caso de compras. A exigência aqui somente tem cabimento quando houver alguma atividade envolvida com o fornecimento do bem que justifique esse cuidado. É o caso, por exemplo, de uma logística complexa para entrega de bens em todo território nacional e cuja falta possa acarretar sérios danos à saúde das pessoas. Também pode ser citado como exemplo a montagem e a instalação de equipamentos sofisticados, que exige conhecimento especializado. De todo modo, como se vê, os atestados se referem a um serviço associado ao bem e não ao bem em si.</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 essência da capacidade operacional é procurar identificar se a futura contratada tem a infraestrutura empresarial e a capacidade de gestão de executar o objeto e, justamente por esse contexto, podem ser feitas exigências de comprovação de anterior execução de quantitativos mínimos (compatíveis com o objeto a ser contratado). Deste modo, é possível que essa comprovação se dê pelo somatório de atestados de contratos executados concomitantemente, pois revelam a capacidade operacional da empresa.</w:t>
      </w:r>
    </w:p>
    <w:p>
      <w:pPr>
        <w:overflowPunct w:val="false"/>
        <w:rPr/>
      </w:pPr>
      <w:r>
        <w:rPr>
          <w:rFonts w:ascii="Liberation Serif" w:hAnsi="Liberation Serif" w:eastAsia="Segoe UI"/>
          <w:i/>
          <w:iCs/>
          <w:color w:val="000000"/>
          <w:lang w:val="en-US" w:eastAsia="en-US" w:bidi="en-US"/>
        </w:rPr>
        <w:t xml:space="preserve">De qualquer forma, é absolutamente fundamental que a exigência seja totalmente objetiva, indicando quantitativos precisos, para evitar dúvidas quanto à habilitação, que podem vir a comprometer o objetivo do processo de formalizar a contratação. </w:t>
      </w:r>
    </w:p>
    <w:p>
      <w:pPr>
        <w:overflowPunct w:val="false"/>
        <w:rPr/>
      </w:pPr>
      <w:r>
        <w:rPr>
          <w:rFonts w:ascii="Liberation Serif" w:hAnsi="Liberation Serif" w:eastAsia="Segoe UI"/>
          <w:i/>
          <w:iCs/>
          <w:color w:val="000000"/>
          <w:lang w:val="en-US" w:eastAsia="en-US" w:bidi="en-US"/>
        </w:rPr>
        <w:t xml:space="preserve">Conforme </w:t>
      </w:r>
      <w:hyperlink r:id="rId42">
        <w:r>
          <w:rPr>
            <w:rFonts w:ascii="Liberation Serif" w:hAnsi="Liberation Serif" w:eastAsia="Segoe UI"/>
            <w:i/>
            <w:iCs/>
            <w:color w:val="000000"/>
            <w:lang w:val="en-US" w:eastAsia="en-US" w:bidi="en-US"/>
          </w:rPr>
          <w:t>§2º do art. 67 da Lei nº 14.133, de 2021</w:t>
        </w:r>
      </w:hyperlink>
      <w:r>
        <w:rPr>
          <w:rFonts w:ascii="Liberation Serif" w:hAnsi="Liberation Serif" w:eastAsia="Segoe UI"/>
          <w:i/>
          <w:iCs/>
          <w:color w:val="000000"/>
          <w:lang w:val="en-US" w:eastAsia="en-US" w:bidi="en-US"/>
        </w:rPr>
        <w:t xml:space="preserve">, “será admitida a exigência de atestados com quantidades mínimas de até 50% (cinquenta por cento) das parcelas de que trata o referido parágrafo, vedadas limitações de tempo e de locais específicos relativas aos atestados”. Além disso, registre-se que só é possível a exigência de atestado quanto às parcelas de maior relevância, entendidas essas como as que possuem valor individual igual ou superior a 4% do valor total estimado da contratação (art. 67, §1º).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 xml:space="preserve">Os requisitos de qualificação técnica são aplicáveis a todos os </w:t>
      </w:r>
      <w:r>
        <w:rPr>
          <w:rFonts w:ascii="Liberation Serif" w:hAnsi="Liberation Serif" w:eastAsia="Segoe UI"/>
          <w:lang w:val="en-US" w:eastAsia="en-US" w:bidi="en-US"/>
        </w:rPr>
        <w:t>interessados</w:t>
      </w:r>
      <w:r>
        <w:rPr>
          <w:rFonts w:ascii="Liberation Serif" w:hAnsi="Liberation Serif" w:eastAsia="Segoe UI"/>
          <w:i/>
          <w:iCs/>
          <w:color w:val="000000"/>
          <w:lang w:val="en-US" w:eastAsia="en-US" w:bidi="en-US"/>
        </w:rPr>
        <w:t xml:space="preserve">, inclusive pessoas físicas, conforme inciso I do </w:t>
      </w:r>
      <w:hyperlink r:id="rId43">
        <w:r>
          <w:rPr>
            <w:rFonts w:ascii="Liberation Serif" w:hAnsi="Liberation Serif" w:eastAsia="Segoe UI"/>
            <w:i/>
            <w:iCs/>
            <w:color w:val="000000"/>
            <w:lang w:val="en-US" w:eastAsia="en-US" w:bidi="en-US"/>
          </w:rPr>
          <w:t>art. 5º da Instrução Normativa Seges/ME nº 116, de 2021</w:t>
        </w:r>
      </w:hyperlink>
      <w:r>
        <w:rPr>
          <w:rFonts w:ascii="Liberation Serif" w:hAnsi="Liberation Serif" w:eastAsia="Segoe UI"/>
          <w:i/>
          <w:iCs/>
          <w:color w:val="000000"/>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color w:val="000000"/>
          <w:lang w:val="en-US" w:eastAsia="en-US" w:bidi="en-US"/>
        </w:rPr>
        <w:t xml:space="preserve">Nota Explicativa 4: </w:t>
      </w:r>
      <w:r>
        <w:rPr>
          <w:rFonts w:ascii="Liberation Serif" w:hAnsi="Liberation Serif" w:eastAsia="Segoe UI"/>
          <w:i/>
          <w:iCs/>
          <w:color w:val="000000"/>
          <w:lang w:val="en-US" w:eastAsia="en-US" w:bidi="en-US"/>
        </w:rPr>
        <w:t xml:space="preserve">Caso seja permitida a subcontratação de fornecimento com aspectos técnicos específicos, poderá ser admitida a apresentação de atestados relativos a potencial subcontratado, limitado a 25% do objeto licitado, conforme </w:t>
      </w:r>
      <w:hyperlink r:id="rId44">
        <w:r>
          <w:rPr>
            <w:rFonts w:ascii="Liberation Serif" w:hAnsi="Liberation Serif" w:eastAsia="Segoe UI"/>
            <w:i/>
            <w:iCs/>
            <w:color w:val="000000"/>
            <w:lang w:val="en-US" w:eastAsia="en-US" w:bidi="en-US"/>
          </w:rPr>
          <w:t>art. 67, §9º da Lei nº 14.133, de 2021.</w:t>
        </w:r>
      </w:hyperlink>
    </w:p>
    <w:p>
      <w:pPr>
        <w:overflowPunct w:val="false"/>
        <w:rPr/>
      </w:pPr>
      <w:r>
        <w:rPr>
          <w:rFonts w:ascii="Liberation Serif" w:hAnsi="Liberation Serif" w:eastAsia="Segoe UI"/>
          <w:b/>
          <w:bCs/>
          <w:i/>
          <w:iCs/>
          <w:color w:val="000000"/>
          <w:lang w:val="en-US" w:eastAsia="en-US" w:bidi="en-US"/>
        </w:rPr>
        <w:t xml:space="preserve">Em sendo esse o caso do processo, recomenda-se inserir a seguinte disposição: </w:t>
      </w:r>
    </w:p>
    <w:p>
      <w:pPr>
        <w:overflowPunct w:val="false"/>
        <w:rPr/>
      </w:pPr>
      <w:r>
        <w:rPr>
          <w:rFonts w:ascii="Liberation Serif" w:hAnsi="Liberation Serif" w:eastAsia="Segoe UI"/>
          <w:b/>
          <w:bCs/>
          <w:i/>
          <w:iCs/>
          <w:color w:val="000000"/>
          <w:lang w:val="en-US" w:eastAsia="en-US" w:bidi="en-US"/>
        </w:rPr>
        <w:t>"Será admitida a apresentação de atestados relativos a potencial subcontratado em relação à parcela do fornecimento de.... ..., cuja subcontratação foi expressamente autorizada no tópico pertinente."</w:t>
      </w:r>
    </w:p>
  </w:comment>
  <w:comment w:id="4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Nesse sentido, o </w:t>
      </w:r>
      <w:hyperlink r:id="rId45">
        <w:r>
          <w:rPr>
            <w:rFonts w:ascii="Liberation Serif" w:hAnsi="Liberation Serif" w:eastAsia="Segoe UI"/>
            <w:i/>
            <w:iCs/>
            <w:color w:val="000000"/>
            <w:lang w:val="en-US" w:eastAsia="en-US" w:bidi="en-US"/>
          </w:rPr>
          <w:t>Parecer n. 00005/2021/CNMLC/CGU/AGU</w:t>
        </w:r>
      </w:hyperlink>
      <w:r>
        <w:rPr>
          <w:rFonts w:ascii="Liberation Serif" w:hAnsi="Liberation Serif" w:eastAsia="Segoe UI"/>
          <w:i/>
          <w:iCs/>
          <w:color w:val="000000"/>
          <w:lang w:val="en-US" w:eastAsia="en-US" w:bidi="en-US"/>
        </w:rPr>
        <w:t xml:space="preserve">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w:t>
      </w:r>
      <w:hyperlink r:id="rId46">
        <w:r>
          <w:rPr>
            <w:rFonts w:ascii="Liberation Serif" w:hAnsi="Liberation Serif" w:eastAsia="Segoe UI"/>
            <w:i/>
            <w:iCs/>
            <w:color w:val="000000"/>
            <w:lang w:val="en-US" w:eastAsia="en-US" w:bidi="en-US"/>
          </w:rPr>
          <w:t>ORIENTAÇÃO NORMATIVA Nº 66, DE 29 DE MAIO DE 2020.</w:t>
        </w:r>
      </w:hyperlink>
    </w:p>
  </w:comment>
  <w:comment w:id="44"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Pesquisa de Preços - A estimativa de preços deve ser precedida de regular pesquisa, nos moldes do </w:t>
      </w:r>
      <w:hyperlink r:id="rId47">
        <w:r>
          <w:rPr>
            <w:rFonts w:ascii="Liberation Serif" w:hAnsi="Liberation Serif" w:eastAsia="Segoe UI"/>
            <w:i/>
            <w:iCs/>
            <w:color w:val="000000"/>
            <w:lang w:val="en-US" w:eastAsia="en-US" w:bidi="en-US"/>
          </w:rPr>
          <w:t>art. 23 da Lei nº 14.133, de 2021</w:t>
        </w:r>
      </w:hyperlink>
      <w:r>
        <w:rPr>
          <w:rFonts w:ascii="Liberation Serif" w:hAnsi="Liberation Serif" w:eastAsia="Segoe UI"/>
          <w:i/>
          <w:iCs/>
          <w:color w:val="000000"/>
          <w:lang w:val="en-US" w:eastAsia="en-US" w:bidi="en-US"/>
        </w:rPr>
        <w:t xml:space="preserve">, e da </w:t>
      </w:r>
      <w:hyperlink r:id="rId48">
        <w:r>
          <w:rPr>
            <w:rFonts w:ascii="Liberation Serif" w:hAnsi="Liberation Serif" w:eastAsia="Segoe UI"/>
            <w:i/>
            <w:iCs/>
            <w:color w:val="000000"/>
            <w:lang w:val="en-US" w:eastAsia="en-US" w:bidi="en-US"/>
          </w:rPr>
          <w:t>Instrução Normativa SEGES/ME nº 65, de 7 de julho 2021.</w:t>
        </w:r>
      </w:hyperlink>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Nota Explicativa 2:</w:t>
      </w:r>
      <w:r>
        <w:rPr>
          <w:rFonts w:ascii="Liberation Serif" w:hAnsi="Liberation Serif" w:eastAsia="Segoe UI"/>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Segoe UI"/>
          <w:i/>
          <w:iCs/>
          <w:color w:val="FF0000"/>
          <w:lang w:val="en-US" w:eastAsia="en-US" w:bidi="en-US"/>
        </w:rPr>
        <w:t xml:space="preserve"> </w:t>
      </w:r>
      <w:r>
        <w:rPr>
          <w:rFonts w:ascii="Liberation Serif" w:hAnsi="Liberation Serif" w:eastAsia="Segoe UI"/>
          <w:i/>
          <w:iCs/>
          <w:lang w:val="en-US" w:eastAsia="en-US" w:bidi="en-US"/>
        </w:rPr>
        <w:t xml:space="preserve">nos termos do </w:t>
      </w:r>
      <w:hyperlink r:id="rId49">
        <w:r>
          <w:rPr>
            <w:rFonts w:ascii="Liberation Serif" w:hAnsi="Liberation Serif" w:eastAsia="Segoe UI"/>
            <w:i/>
            <w:iCs/>
            <w:lang w:val="en-US" w:eastAsia="en-US" w:bidi="en-US"/>
          </w:rPr>
          <w:t>art. 9º, IX, da Instrução Normativa Seges/ME nº 81, de 2022</w:t>
        </w:r>
      </w:hyperlink>
      <w:r>
        <w:rPr>
          <w:rFonts w:ascii="Liberation Serif" w:hAnsi="Liberation Serif" w:eastAsia="Segoe UI"/>
          <w:i/>
          <w:iCs/>
          <w:lang w:val="en-US" w:eastAsia="en-US" w:bidi="en-US"/>
        </w:rPr>
        <w:t xml:space="preserve">. Caso a Administração opte por preservar o sigilo da estimativa do valor da contratação, também deverá ser preservado o sigilo desse anexo.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b/>
          <w:bCs/>
          <w:i/>
          <w:iCs/>
          <w:lang w:val="en-US" w:eastAsia="en-US" w:bidi="en-US"/>
        </w:rPr>
        <w:t xml:space="preserve">Nota Explicativa 3: </w:t>
      </w:r>
      <w:r>
        <w:rPr>
          <w:rFonts w:ascii="Liberation Serif" w:hAnsi="Liberation Serif" w:eastAsia="Segoe UI"/>
          <w:i/>
          <w:iCs/>
          <w:lang w:val="en-US" w:eastAsia="en-US" w:bidi="en-US"/>
        </w:rPr>
        <w:t>Utilizar esta redação na hipótese em que for adotado o critério de julgamento por menor preço, sem caráter sigiloso.</w:t>
      </w:r>
    </w:p>
  </w:comment>
  <w:comment w:id="45" w:author="Autor" w:date="0-00-00T00:00:00Z" w:initials="A">
    <w:p>
      <w:pPr>
        <w:overflowPunct w:val="false"/>
        <w:rPr/>
      </w:pPr>
      <w:r>
        <w:rPr>
          <w:rFonts w:ascii="Liberation Serif" w:hAnsi="Liberation Serif" w:eastAsia="Segoe UI"/>
          <w:lang w:val="en-US" w:eastAsia="en-US" w:bidi="en-US"/>
        </w:rPr>
        <w:t>Nota Explicativa: Segundo o art. 7º, §§ 4º e 5º, da Instrução Normativa SEGES/ME n.º 65, de 2021, na hipótese de dispensa de licitação com base nos incisos I e II do art. 75 da Lei nº 14.133, de 2021 (contratações de pequeno valor), a estimativa de preços da contratação poderá ser realizada concomitantemente à seleção da proposta economicamente mais vantajosa, por meio de solicitação formal de cotações a fornecedores.</w:t>
      </w:r>
    </w:p>
  </w:comment>
  <w:comment w:id="46"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Em caso de utilização de matriz de alocação de risco, o custo estimado da contratação deve levar em consideração o conjunto de riscos alocados ao contratado, o que naturalmente implicará elevação no custo da contratação (cf. art. 22, caput, e art. 103, §3º, ambos da Lei n. 14.133, de 2021).</w:t>
      </w:r>
    </w:p>
  </w:comment>
  <w:comment w:id="47" w:author="Autor" w:date="0-00-00T00:00:00Z" w:initials="A">
    <w:p>
      <w:pPr>
        <w:overflowPunct w:val="false"/>
        <w:rPr/>
      </w:pPr>
      <w:r>
        <w:rPr>
          <w:rFonts w:ascii="Liberation Serif" w:hAnsi="Liberation Serif" w:eastAsia="Segoe UI"/>
          <w:lang w:val="en-US" w:eastAsia="en-US" w:bidi="en-US"/>
        </w:rPr>
        <w:t>Nota Explicativa: Utilizar o item acima caso se adote o Sistema de Registro de Preços – SRP, conforme Orientação Normativa AGU nº 20, de 2009, segundo a qual: “NA LICITAÇÃO PARA REGISTRO DE PREÇOS, A INDICAÇÃO DA DOTAÇÃO ORÇAMENTÁRIA É EXIGÍVEL APENAS ANTES DA ASSINATURA DO CONTRATO". (Redação mantida pela Portaria AGU n.º 575, de 16 de dezembro de 2024).</w:t>
      </w:r>
    </w:p>
  </w:comment>
  <w:comment w:id="48" w:author="Autor" w:date="0-00-00T00:00:00Z" w:initials="A">
    <w:p>
      <w:pPr>
        <w:overflowPunct w:val="false"/>
        <w:rPr/>
      </w:pPr>
      <w:r>
        <w:rPr>
          <w:rFonts w:ascii="Liberation Serif" w:hAnsi="Liberation Serif" w:eastAsia="Segoe UI"/>
          <w:b/>
          <w:bCs/>
          <w:i/>
          <w:iCs/>
          <w:shd w:fill="FFFF00" w:val="clear"/>
          <w:lang w:val="en-US" w:eastAsia="en-US" w:bidi="en-US"/>
        </w:rPr>
        <w:t>Nota explicativa</w:t>
      </w:r>
      <w:r>
        <w:rPr>
          <w:rFonts w:ascii="Liberation Serif" w:hAnsi="Liberation Serif" w:eastAsia="Segoe UI"/>
          <w:i/>
          <w:iCs/>
          <w:shd w:fill="FFFF00" w:val="clear"/>
          <w:lang w:val="en-US" w:eastAsia="en-US" w:bidi="en-US"/>
        </w:rPr>
        <w:t>: Conforme a Lei nº 10.522, de 2002, com a redação conferida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"Art. 6º É obrigatória a consulta prévia ao Cadin, pelos órgãos e entidades da Administração Pública Federal, direta e indireta, para: (Vide Medida Provisória nº 1.259, de 2024)</w:t>
      </w:r>
    </w:p>
    <w:p>
      <w:pPr>
        <w:overflowPunct w:val="false"/>
        <w:rPr/>
      </w:pPr>
      <w:r>
        <w:rPr>
          <w:rFonts w:ascii="Liberation Serif" w:hAnsi="Liberation Serif" w:eastAsia="Segoe UI"/>
          <w:i/>
          <w:iCs/>
          <w:shd w:fill="FFFF00" w:val="clear"/>
          <w:lang w:val="en-US" w:eastAsia="en-US" w:bidi="en-US"/>
        </w:rPr>
        <w:t>[...]</w:t>
      </w:r>
    </w:p>
    <w:p>
      <w:pPr>
        <w:overflowPunct w:val="false"/>
        <w:rPr/>
      </w:pPr>
      <w:r>
        <w:rPr>
          <w:rFonts w:ascii="Liberation Serif" w:hAnsi="Liberation Serif" w:eastAsia="Segoe UI"/>
          <w:i/>
          <w:iCs/>
          <w:shd w:fill="FFFF00" w:val="clear"/>
          <w:lang w:val="en-US" w:eastAsia="en-US" w:bidi="en-US"/>
        </w:rPr>
        <w:t>III - celebração de convênios, acordos, ajustes ou contratos que envolvam desembolso, a qualquer título, de recursos públicos, e respectivos aditamentos.</w:t>
      </w:r>
    </w:p>
    <w:p>
      <w:pPr>
        <w:overflowPunct w:val="false"/>
        <w:rPr/>
      </w:pPr>
      <w:r>
        <w:rPr>
          <w:rFonts w:ascii="Liberation Serif" w:hAnsi="Liberation Serif" w:eastAsia="Segoe UI"/>
          <w:i/>
          <w:iCs/>
          <w:shd w:fill="FFFF00" w:val="clear"/>
          <w:lang w:val="en-US" w:eastAsia="en-US" w:bidi="en-US"/>
        </w:rPr>
        <w:t>[...]</w:t>
      </w:r>
    </w:p>
    <w:p>
      <w:pPr>
        <w:overflowPunct w:val="false"/>
        <w:rPr/>
      </w:pPr>
      <w:r>
        <w:rPr>
          <w:rFonts w:ascii="Liberation Serif" w:hAnsi="Liberation Serif" w:eastAsia="Segoe UI"/>
          <w:i/>
          <w:iCs/>
          <w:shd w:fill="FFFF00" w:val="clear"/>
          <w:lang w:val="en-US" w:eastAsia="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 alteração veiculada pela Lei nº 14.973, de 2024, foi analisada por meio do PARECER n. 00063/2024/DECOR/CGU/AGU</w:t>
      </w:r>
    </w:p>
    <w:p>
      <w:pPr>
        <w:overflowPunct w:val="false"/>
        <w:rPr/>
      </w:pPr>
      <w:r>
        <w:rPr>
          <w:rFonts w:ascii="Liberation Serif" w:hAnsi="Liberation Serif" w:eastAsia="Segoe UI"/>
          <w:i/>
          <w:iCs/>
          <w:shd w:fill="FFFF00" w:val="clear"/>
          <w:lang w:val="en-US" w:eastAsia="en-US" w:bidi="en-US"/>
        </w:rPr>
        <w:t xml:space="preserve">(NUP: 12600.101013/2023-10), aprovado pelo Despacho do Ministro Chefe da Advocacia-Geral da União n.º 539, de 17, de dezembro de 2024, com as seguintes conclusões: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 Com a inclusão do art. 6º-A na Lei 10.522/2002 pela Lei n.º 14.973/2024 o</w:t>
      </w:r>
      <w:r>
        <w:rPr>
          <w:rFonts w:ascii="Liberation Serif" w:hAnsi="Liberation Serif" w:eastAsia="Segoe UI"/>
          <w:b/>
          <w:bCs/>
          <w:i/>
          <w:iCs/>
          <w:shd w:fill="FFFF00" w:val="clear"/>
          <w:lang w:val="en-US" w:eastAsia="en-US" w:bidi="en-US"/>
        </w:rPr>
        <w:t xml:space="preserve"> registro das empresas no CADIN passou a impedir a celebração de</w:t>
      </w:r>
      <w:r>
        <w:rPr>
          <w:rFonts w:ascii="Liberation Serif" w:hAnsi="Liberation Serif" w:eastAsia="Segoe UI"/>
          <w:i/>
          <w:iCs/>
          <w:shd w:fill="FFFF00" w:val="clear"/>
          <w:lang w:val="en-US" w:eastAsia="en-US" w:bidi="en-US"/>
        </w:rPr>
        <w:t xml:space="preserve"> convênios, acordos, ajustes ou </w:t>
      </w:r>
      <w:r>
        <w:rPr>
          <w:rFonts w:ascii="Liberation Serif" w:hAnsi="Liberation Serif" w:eastAsia="Segoe UI"/>
          <w:b/>
          <w:bCs/>
          <w:i/>
          <w:iCs/>
          <w:shd w:fill="FFFF00" w:val="clear"/>
          <w:lang w:val="en-US" w:eastAsia="en-US" w:bidi="en-US"/>
        </w:rPr>
        <w:t xml:space="preserve">contratos </w:t>
      </w:r>
      <w:r>
        <w:rPr>
          <w:rFonts w:ascii="Liberation Serif" w:hAnsi="Liberation Serif" w:eastAsia="Segoe UI"/>
          <w:i/>
          <w:iCs/>
          <w:shd w:fill="FFFF00" w:val="clear"/>
          <w:lang w:val="en-US" w:eastAsia="en-US" w:bidi="en-US"/>
        </w:rPr>
        <w:t xml:space="preserve">que envolvam desembolso, a qualquer título, de recursos públicos, </w:t>
      </w:r>
      <w:r>
        <w:rPr>
          <w:rFonts w:ascii="Liberation Serif" w:hAnsi="Liberation Serif" w:eastAsia="Segoe UI"/>
          <w:b/>
          <w:bCs/>
          <w:i/>
          <w:iCs/>
          <w:shd w:fill="FFFF00" w:val="clear"/>
          <w:lang w:val="en-US" w:eastAsia="en-US" w:bidi="en-US"/>
        </w:rPr>
        <w:t>e respectivos aditamentos;</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(b) Segundo o art. 50 da Lei n.º 14.973/2024, as disposições desta Lei entraram em vigor na data da sua publicação: </w:t>
      </w:r>
      <w:r>
        <w:rPr>
          <w:rFonts w:ascii="Liberation Serif" w:hAnsi="Liberation Serif" w:eastAsia="Segoe UI"/>
          <w:b/>
          <w:bCs/>
          <w:i/>
          <w:iCs/>
          <w:shd w:fill="FFFF00" w:val="clear"/>
          <w:lang w:val="en-US" w:eastAsia="en-US" w:bidi="en-US"/>
        </w:rPr>
        <w:t>no dia 16 de setembro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(c) Da edição desta norma </w:t>
      </w:r>
      <w:r>
        <w:rPr>
          <w:rFonts w:ascii="Liberation Serif" w:hAnsi="Liberation Serif" w:eastAsia="Segoe UI"/>
          <w:b/>
          <w:bCs/>
          <w:i/>
          <w:iCs/>
          <w:shd w:fill="FFFF00" w:val="clear"/>
          <w:lang w:val="en-US" w:eastAsia="en-US" w:bidi="en-US"/>
        </w:rPr>
        <w:t xml:space="preserve">não </w:t>
      </w:r>
      <w:r>
        <w:rPr>
          <w:rFonts w:ascii="Liberation Serif" w:hAnsi="Liberation Serif" w:eastAsia="Segoe UI"/>
          <w:i/>
          <w:iCs/>
          <w:shd w:fill="FFFF00" w:val="clear"/>
          <w:lang w:val="en-US" w:eastAsia="en-US" w:bidi="en-US"/>
        </w:rPr>
        <w:t>foram previstas regras de transição e nem autorizado o estabelecimento de um regime de transição em abstrato pela Administração Pública;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 xml:space="preserve"> (d) O </w:t>
      </w:r>
      <w:r>
        <w:rPr>
          <w:rFonts w:ascii="Liberation Serif" w:hAnsi="Liberation Serif" w:eastAsia="Segoe UI"/>
          <w:b/>
          <w:bCs/>
          <w:i/>
          <w:iCs/>
          <w:shd w:fill="FFFF00" w:val="clear"/>
          <w:lang w:val="en-US" w:eastAsia="en-US" w:bidi="en-US"/>
        </w:rPr>
        <w:t>art. 6º- A da Lei nº 10.522/2002 deve ser aplicado aos</w:t>
      </w:r>
      <w:r>
        <w:rPr>
          <w:rFonts w:ascii="Liberation Serif" w:hAnsi="Liberation Serif" w:eastAsia="Segoe UI"/>
          <w:i/>
          <w:iCs/>
          <w:shd w:fill="FFFF00" w:val="clear"/>
          <w:lang w:val="en-US" w:eastAsia="en-US" w:bidi="en-US"/>
        </w:rPr>
        <w:t xml:space="preserve"> convênios, acordos, ajustes e </w:t>
      </w:r>
      <w:r>
        <w:rPr>
          <w:rFonts w:ascii="Liberation Serif" w:hAnsi="Liberation Serif" w:eastAsia="Segoe UI"/>
          <w:b/>
          <w:bCs/>
          <w:i/>
          <w:iCs/>
          <w:shd w:fill="FFFF00" w:val="clear"/>
          <w:lang w:val="en-US" w:eastAsia="en-US" w:bidi="en-US"/>
        </w:rPr>
        <w:t xml:space="preserve">contratos </w:t>
      </w:r>
      <w:r>
        <w:rPr>
          <w:rFonts w:ascii="Liberation Serif" w:hAnsi="Liberation Serif" w:eastAsia="Segoe UI"/>
          <w:i/>
          <w:iCs/>
          <w:shd w:fill="FFFF00" w:val="clear"/>
          <w:lang w:val="en-US" w:eastAsia="en-US" w:bidi="en-US"/>
        </w:rPr>
        <w:t>que envolvam desembolso, a qualquer título, de recursos públicos, f</w:t>
      </w:r>
      <w:r>
        <w:rPr>
          <w:rFonts w:ascii="Liberation Serif" w:hAnsi="Liberation Serif" w:eastAsia="Segoe UI"/>
          <w:b/>
          <w:bCs/>
          <w:i/>
          <w:iCs/>
          <w:shd w:fill="FFFF00" w:val="clear"/>
          <w:lang w:val="en-US" w:eastAsia="en-US" w:bidi="en-US"/>
        </w:rPr>
        <w:t xml:space="preserve">irmados a partir da data da publicação da norma; </w:t>
      </w:r>
      <w:r>
        <w:rPr>
          <w:rFonts w:ascii="Liberation Serif" w:hAnsi="Liberation Serif" w:eastAsia="Segoe UI"/>
          <w:i/>
          <w:iCs/>
          <w:shd w:fill="FFFF00" w:val="clear"/>
          <w:lang w:val="en-US" w:eastAsia="en-US" w:bidi="en-US"/>
        </w:rPr>
        <w:t xml:space="preserve">[...]".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shd w:fill="FFFF00" w:val="clear"/>
          <w:lang w:val="en-US" w:eastAsia="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pPr>
        <w:overflowPunct w:val="false"/>
        <w:rPr/>
      </w:pPr>
      <w:r>
        <w:rPr>
          <w:rFonts w:ascii="Liberation Serif" w:hAnsi="Liberation Serif" w:eastAsia="Segoe UI"/>
          <w:i/>
          <w:iCs/>
          <w:color w:val="000000"/>
          <w:lang w:val="en-US" w:eastAsia="en-US" w:bidi="en-US"/>
        </w:rPr>
        <w:t xml:space="preserve"> </w:t>
      </w:r>
    </w:p>
  </w:comment>
  <w:comment w:id="49"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50"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52"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disposição deste item decorre do §4º, do art. 137, da Lei nº 14.133, de 2021, e será aplicável, apenas, aos casos de compras de pequeno valor </w:t>
      </w:r>
      <w:r>
        <w:rPr>
          <w:rFonts w:ascii="Liberation Serif" w:hAnsi="Liberation Serif" w:eastAsia="Segoe UI"/>
          <w:i/>
          <w:iCs/>
          <w:lang w:val="en-US" w:eastAsia="en-US" w:bidi="en-US"/>
        </w:rPr>
        <w:t xml:space="preserve">(art. 95, inciso I, da Lei n.º 14.133, de 2021). </w:t>
      </w:r>
    </w:p>
  </w:comment>
  <w:comment w:id="5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xml:space="preserve">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5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5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5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Utilizar a redação destes itens para as hipóteses de compra com entrega imediata e integral dos bens (execução instantânea), independentemente do valor (art. 95, inciso II, da Lei 14.133, de 2021).</w:t>
      </w:r>
    </w:p>
  </w:comment>
  <w:comment w:id="5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57"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58"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presente anexo deverá ser adotado para colher a concordância do contratado com as regras e obrigações da contratação previstas no Termo de Referência e em seu anexo, </w:t>
      </w:r>
      <w:r>
        <w:rPr>
          <w:rFonts w:ascii="Liberation Serif" w:hAnsi="Liberation Serif" w:eastAsia="Segoe UI"/>
          <w:b/>
          <w:bCs/>
          <w:i/>
          <w:iCs/>
          <w:lang w:val="en-US" w:eastAsia="en-US" w:bidi="en-US"/>
        </w:rPr>
        <w:t>em caso de substituição do termo de contrato por instrumento equivalente</w:t>
      </w:r>
      <w:r>
        <w:rPr>
          <w:rFonts w:ascii="Liberation Serif" w:hAnsi="Liberation Serif" w:eastAsia="Segoe UI"/>
          <w:i/>
          <w:iCs/>
          <w:lang w:val="en-US" w:eastAsia="en-US" w:bidi="en-US"/>
        </w:rPr>
        <w:t xml:space="preserve">, na forma do art. 95, incisos I e II, da Lei n.º 14.133, de 2021, com a interpretação conferida pela Orientação Normativa AGU n.º 84, de 2024.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Arial">
    <w:charset w:val="00"/>
    <w:family w:val="roman"/>
    <w:pitch w:val="variable"/>
  </w:font>
  <w:font w:name="Calibri">
    <w:charset w:val="00"/>
    <w:family w:val="roman"/>
    <w:pitch w:val="variable"/>
  </w:font>
  <w:font w:name="Tahoma">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1"/>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1205370932"/>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olor w:themeColor="text1" w:themeTint="80" w:val="7F7F7F"/>
            <w:sz w:val="18"/>
          </w:rPr>
        </w:pPr>
        <w:r>
          <w:rPr>
            <w:color w:themeColor="text1" w:themeTint="80" w:val="7F7F7F"/>
            <w:spacing w:val="60"/>
            <w:sz w:val="22"/>
            <w:szCs w:val="22"/>
          </w:rPr>
          <w:tab/>
          <w:tab/>
        </w:r>
        <w:r>
          <w:rPr>
            <w:rFonts w:ascii="Arial" w:hAnsi="Arial"/>
            <w:color w:themeColor="text1" w:themeTint="a6" w:val="595959"/>
            <w:spacing w:val="60"/>
            <w:sz w:val="18"/>
          </w:rPr>
          <w:t>Página</w:t>
        </w:r>
        <w:r>
          <w:rPr>
            <w:rFonts w:ascii="Arial" w:hAnsi="Arial"/>
            <w:color w:themeColor="text1" w:themeTint="a6" w:val="595959"/>
            <w:sz w:val="18"/>
          </w:rPr>
          <w:t xml:space="preserve"> </w:t>
        </w:r>
        <w:r>
          <w:rPr>
            <w:rFonts w:ascii="Arial" w:hAnsi="Arial"/>
            <w:color w:val="595959"/>
            <w:sz w:val="18"/>
          </w:rPr>
          <w:fldChar w:fldCharType="begin"/>
        </w:r>
        <w:r>
          <w:rPr>
            <w:sz w:val="18"/>
            <w:rFonts w:ascii="Arial" w:hAnsi="Arial"/>
            <w:color w:val="595959"/>
          </w:rPr>
          <w:instrText xml:space="preserve"> PAGE </w:instrText>
        </w:r>
        <w:r>
          <w:rPr>
            <w:sz w:val="18"/>
            <w:rFonts w:ascii="Arial" w:hAnsi="Arial"/>
            <w:color w:val="595959"/>
          </w:rPr>
          <w:fldChar w:fldCharType="separate"/>
        </w:r>
        <w:r>
          <w:rPr>
            <w:sz w:val="18"/>
            <w:rFonts w:ascii="Arial" w:hAnsi="Arial"/>
            <w:color w:val="595959"/>
          </w:rPr>
          <w:t>22</w:t>
        </w:r>
        <w:r>
          <w:rPr>
            <w:sz w:val="18"/>
            <w:rFonts w:ascii="Arial" w:hAnsi="Arial"/>
            <w:color w:val="595959"/>
          </w:rPr>
          <w:fldChar w:fldCharType="end"/>
        </w:r>
        <w:r>
          <w:rPr>
            <w:rFonts w:ascii="Arial" w:hAnsi="Arial"/>
            <w:color w:themeColor="text1" w:themeTint="a6" w:val="595959"/>
            <w:sz w:val="18"/>
          </w:rPr>
          <w:t xml:space="preserve"> | </w:t>
        </w:r>
        <w:r>
          <w:rPr>
            <w:rFonts w:ascii="Arial" w:hAnsi="Arial"/>
            <w:color w:val="595959"/>
            <w:sz w:val="18"/>
          </w:rPr>
          <w:fldChar w:fldCharType="begin"/>
        </w:r>
        <w:r>
          <w:rPr>
            <w:sz w:val="18"/>
            <w:rFonts w:ascii="Arial" w:hAnsi="Arial"/>
            <w:color w:val="595959"/>
          </w:rPr>
          <w:instrText xml:space="preserve"> NUMPAGES </w:instrText>
        </w:r>
        <w:r>
          <w:rPr>
            <w:sz w:val="18"/>
            <w:rFonts w:ascii="Arial" w:hAnsi="Arial"/>
            <w:color w:val="595959"/>
          </w:rPr>
          <w:fldChar w:fldCharType="separate"/>
        </w:r>
        <w:r>
          <w:rPr>
            <w:sz w:val="18"/>
            <w:rFonts w:ascii="Arial" w:hAnsi="Arial"/>
            <w:color w:val="595959"/>
          </w:rPr>
          <w:t>28</w:t>
        </w:r>
        <w:r>
          <w:rPr>
            <w:sz w:val="18"/>
            <w:rFonts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themeColor="text2" w:themeShade="80" w:val="0F243E"/>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Licitação e Contratação Direta - Lei nº 14.133, de 2021</w:t>
        </w:r>
      </w:p>
      <w:p>
        <w:pPr>
          <w:pStyle w:val="Footer"/>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Footer"/>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Footer"/>
          <w:rPr>
            <w:rFonts w:eastAsia="" w:eastAsiaTheme="minorEastAsia"/>
            <w:highlight w:val="none"/>
            <w:shd w:fill="auto" w:val="clear"/>
          </w:rPr>
        </w:pPr>
        <w:r>
          <w:rPr>
            <w:rFonts w:eastAsia="" w:cs="Arial" w:ascii="Arial" w:hAnsi="Arial" w:eastAsiaTheme="minorEastAsia"/>
            <w:sz w:val="14"/>
            <w:szCs w:val="14"/>
            <w:shd w:fill="auto" w:val="clear"/>
          </w:rPr>
          <w:t>Atualização: DEZ/2025</w:t>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upperRoman"/>
      <w:lvlText w:val="%1)"/>
      <w:lvlJc w:val="left"/>
      <w:pPr>
        <w:tabs>
          <w:tab w:val="num" w:pos="0"/>
        </w:tabs>
        <w:ind w:left="3555" w:hanging="720"/>
      </w:pPr>
      <w:rPr/>
    </w:lvl>
    <w:lvl w:ilvl="1">
      <w:start w:val="1"/>
      <w:numFmt w:val="lowerLetter"/>
      <w:lvlText w:val="%2."/>
      <w:lvlJc w:val="left"/>
      <w:pPr>
        <w:tabs>
          <w:tab w:val="num" w:pos="0"/>
        </w:tabs>
        <w:ind w:left="3915" w:hanging="360"/>
      </w:pPr>
      <w:rPr/>
    </w:lvl>
    <w:lvl w:ilvl="2">
      <w:start w:val="1"/>
      <w:numFmt w:val="lowerRoman"/>
      <w:lvlText w:val="%3."/>
      <w:lvlJc w:val="right"/>
      <w:pPr>
        <w:tabs>
          <w:tab w:val="num" w:pos="0"/>
        </w:tabs>
        <w:ind w:left="4635" w:hanging="180"/>
      </w:pPr>
      <w:rPr/>
    </w:lvl>
    <w:lvl w:ilvl="3">
      <w:start w:val="1"/>
      <w:numFmt w:val="decimal"/>
      <w:lvlText w:val="%4."/>
      <w:lvlJc w:val="left"/>
      <w:pPr>
        <w:tabs>
          <w:tab w:val="num" w:pos="0"/>
        </w:tabs>
        <w:ind w:left="5355" w:hanging="360"/>
      </w:pPr>
      <w:rPr/>
    </w:lvl>
    <w:lvl w:ilvl="4">
      <w:start w:val="1"/>
      <w:numFmt w:val="lowerLetter"/>
      <w:lvlText w:val="%5."/>
      <w:lvlJc w:val="left"/>
      <w:pPr>
        <w:tabs>
          <w:tab w:val="num" w:pos="0"/>
        </w:tabs>
        <w:ind w:left="6075" w:hanging="360"/>
      </w:pPr>
      <w:rPr/>
    </w:lvl>
    <w:lvl w:ilvl="5">
      <w:start w:val="1"/>
      <w:numFmt w:val="lowerRoman"/>
      <w:lvlText w:val="%6."/>
      <w:lvlJc w:val="right"/>
      <w:pPr>
        <w:tabs>
          <w:tab w:val="num" w:pos="0"/>
        </w:tabs>
        <w:ind w:left="6795" w:hanging="180"/>
      </w:pPr>
      <w:rPr/>
    </w:lvl>
    <w:lvl w:ilvl="6">
      <w:start w:val="1"/>
      <w:numFmt w:val="decimal"/>
      <w:lvlText w:val="%7."/>
      <w:lvlJc w:val="left"/>
      <w:pPr>
        <w:tabs>
          <w:tab w:val="num" w:pos="0"/>
        </w:tabs>
        <w:ind w:left="7515" w:hanging="360"/>
      </w:pPr>
      <w:rPr/>
    </w:lvl>
    <w:lvl w:ilvl="7">
      <w:start w:val="1"/>
      <w:numFmt w:val="lowerLetter"/>
      <w:lvlText w:val="%8."/>
      <w:lvlJc w:val="left"/>
      <w:pPr>
        <w:tabs>
          <w:tab w:val="num" w:pos="0"/>
        </w:tabs>
        <w:ind w:left="8235" w:hanging="360"/>
      </w:pPr>
      <w:rPr/>
    </w:lvl>
    <w:lvl w:ilvl="8">
      <w:start w:val="1"/>
      <w:numFmt w:val="lowerRoman"/>
      <w:lvlText w:val="%9."/>
      <w:lvlJc w:val="right"/>
      <w:pPr>
        <w:tabs>
          <w:tab w:val="num" w:pos="0"/>
        </w:tabs>
        <w:ind w:left="8955" w:hanging="180"/>
      </w:pPr>
      <w:rPr/>
    </w:lvl>
  </w:abstractNum>
  <w:abstractNum w:abstractNumId="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rFonts w:ascii="Calibri" w:hAnsi="Calibri"/>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
    <w:lvl w:ilvl="0">
      <w:start w:val="1"/>
      <w:numFmt w:val="lowerLetter"/>
      <w:lvlText w:val="%1)"/>
      <w:lvlJc w:val="left"/>
      <w:pPr>
        <w:tabs>
          <w:tab w:val="num" w:pos="0"/>
        </w:tabs>
        <w:ind w:left="2130" w:hanging="360"/>
      </w:pPr>
      <w:rPr/>
    </w:lvl>
    <w:lvl w:ilvl="1">
      <w:start w:val="1"/>
      <w:numFmt w:val="lowerLetter"/>
      <w:lvlText w:val="%2."/>
      <w:lvlJc w:val="left"/>
      <w:pPr>
        <w:tabs>
          <w:tab w:val="num" w:pos="0"/>
        </w:tabs>
        <w:ind w:left="2850" w:hanging="360"/>
      </w:pPr>
      <w:rPr/>
    </w:lvl>
    <w:lvl w:ilvl="2">
      <w:start w:val="1"/>
      <w:numFmt w:val="lowerRoman"/>
      <w:lvlText w:val="%3."/>
      <w:lvlJc w:val="right"/>
      <w:pPr>
        <w:tabs>
          <w:tab w:val="num" w:pos="0"/>
        </w:tabs>
        <w:ind w:left="3570" w:hanging="180"/>
      </w:pPr>
      <w:rPr/>
    </w:lvl>
    <w:lvl w:ilvl="3">
      <w:start w:val="1"/>
      <w:numFmt w:val="decimal"/>
      <w:lvlText w:val="%4."/>
      <w:lvlJc w:val="left"/>
      <w:pPr>
        <w:tabs>
          <w:tab w:val="num" w:pos="0"/>
        </w:tabs>
        <w:ind w:left="4290" w:hanging="360"/>
      </w:pPr>
      <w:rPr/>
    </w:lvl>
    <w:lvl w:ilvl="4">
      <w:start w:val="1"/>
      <w:numFmt w:val="lowerLetter"/>
      <w:lvlText w:val="%5."/>
      <w:lvlJc w:val="left"/>
      <w:pPr>
        <w:tabs>
          <w:tab w:val="num" w:pos="0"/>
        </w:tabs>
        <w:ind w:left="5010" w:hanging="360"/>
      </w:pPr>
      <w:rPr/>
    </w:lvl>
    <w:lvl w:ilvl="5">
      <w:start w:val="1"/>
      <w:numFmt w:val="lowerRoman"/>
      <w:lvlText w:val="%6."/>
      <w:lvlJc w:val="right"/>
      <w:pPr>
        <w:tabs>
          <w:tab w:val="num" w:pos="0"/>
        </w:tabs>
        <w:ind w:left="5730" w:hanging="180"/>
      </w:pPr>
      <w:rPr/>
    </w:lvl>
    <w:lvl w:ilvl="6">
      <w:start w:val="1"/>
      <w:numFmt w:val="decimal"/>
      <w:lvlText w:val="%7."/>
      <w:lvlJc w:val="left"/>
      <w:pPr>
        <w:tabs>
          <w:tab w:val="num" w:pos="0"/>
        </w:tabs>
        <w:ind w:left="6450" w:hanging="360"/>
      </w:pPr>
      <w:rPr/>
    </w:lvl>
    <w:lvl w:ilvl="7">
      <w:start w:val="1"/>
      <w:numFmt w:val="lowerLetter"/>
      <w:lvlText w:val="%8."/>
      <w:lvlJc w:val="left"/>
      <w:pPr>
        <w:tabs>
          <w:tab w:val="num" w:pos="0"/>
        </w:tabs>
        <w:ind w:left="7170" w:hanging="360"/>
      </w:pPr>
      <w:rPr/>
    </w:lvl>
    <w:lvl w:ilvl="8">
      <w:start w:val="1"/>
      <w:numFmt w:val="lowerRoman"/>
      <w:lvlText w:val="%9."/>
      <w:lvlJc w:val="right"/>
      <w:pPr>
        <w:tabs>
          <w:tab w:val="num" w:pos="0"/>
        </w:tabs>
        <w:ind w:left="7890" w:hanging="180"/>
      </w:pPr>
      <w:rPr/>
    </w:lvl>
  </w:abstractNum>
  <w:abstractNum w:abstractNumId="6">
    <w:lvl w:ilvl="0">
      <w:start w:val="7"/>
      <w:numFmt w:val="decimal"/>
      <w:lvlText w:val="%1"/>
      <w:lvlJc w:val="left"/>
      <w:pPr>
        <w:tabs>
          <w:tab w:val="num" w:pos="0"/>
        </w:tabs>
        <w:ind w:left="790" w:hanging="790"/>
      </w:pPr>
      <w:rPr/>
    </w:lvl>
    <w:lvl w:ilvl="1">
      <w:start w:val="2"/>
      <w:numFmt w:val="decimal"/>
      <w:lvlText w:val="%1.%2"/>
      <w:lvlJc w:val="left"/>
      <w:pPr>
        <w:tabs>
          <w:tab w:val="num" w:pos="0"/>
        </w:tabs>
        <w:ind w:left="931" w:hanging="790"/>
      </w:pPr>
      <w:rPr/>
    </w:lvl>
    <w:lvl w:ilvl="2">
      <w:start w:val="4"/>
      <w:numFmt w:val="decimal"/>
      <w:lvlText w:val="%1.%2.%3"/>
      <w:lvlJc w:val="left"/>
      <w:pPr>
        <w:tabs>
          <w:tab w:val="num" w:pos="0"/>
        </w:tabs>
        <w:ind w:left="1072" w:hanging="790"/>
      </w:pPr>
      <w:rPr/>
    </w:lvl>
    <w:lvl w:ilvl="3">
      <w:start w:val="2"/>
      <w:numFmt w:val="decimal"/>
      <w:lvlText w:val="%1.%2.%3.%4"/>
      <w:lvlJc w:val="left"/>
      <w:pPr>
        <w:tabs>
          <w:tab w:val="num" w:pos="0"/>
        </w:tabs>
        <w:ind w:left="1213" w:hanging="790"/>
      </w:pPr>
      <w:rPr/>
    </w:lvl>
    <w:lvl w:ilvl="4">
      <w:start w:val="1"/>
      <w:numFmt w:val="decimal"/>
      <w:lvlText w:val="%1.%2.%3.%4.%5"/>
      <w:lvlJc w:val="left"/>
      <w:pPr>
        <w:tabs>
          <w:tab w:val="num" w:pos="0"/>
        </w:tabs>
        <w:ind w:left="1644" w:hanging="1080"/>
      </w:pPr>
      <w:rPr/>
    </w:lvl>
    <w:lvl w:ilvl="5">
      <w:start w:val="1"/>
      <w:numFmt w:val="decimal"/>
      <w:lvlText w:val="%1.%2.%3.%4.%5.%6"/>
      <w:lvlJc w:val="left"/>
      <w:pPr>
        <w:tabs>
          <w:tab w:val="num" w:pos="0"/>
        </w:tabs>
        <w:ind w:left="1785" w:hanging="1080"/>
      </w:pPr>
      <w:rPr/>
    </w:lvl>
    <w:lvl w:ilvl="6">
      <w:start w:val="1"/>
      <w:numFmt w:val="decimal"/>
      <w:lvlText w:val="%1.%2.%3.%4.%5.%6.%7"/>
      <w:lvlJc w:val="left"/>
      <w:pPr>
        <w:tabs>
          <w:tab w:val="num" w:pos="0"/>
        </w:tabs>
        <w:ind w:left="2286" w:hanging="1440"/>
      </w:pPr>
      <w:rPr/>
    </w:lvl>
    <w:lvl w:ilvl="7">
      <w:start w:val="1"/>
      <w:numFmt w:val="decimal"/>
      <w:lvlText w:val="%1.%2.%3.%4.%5.%6.%7.%8"/>
      <w:lvlJc w:val="left"/>
      <w:pPr>
        <w:tabs>
          <w:tab w:val="num" w:pos="0"/>
        </w:tabs>
        <w:ind w:left="2427" w:hanging="1440"/>
      </w:pPr>
      <w:rPr/>
    </w:lvl>
    <w:lvl w:ilvl="8">
      <w:start w:val="1"/>
      <w:numFmt w:val="decimal"/>
      <w:lvlText w:val="%1.%2.%3.%4.%5.%6.%7.%8.%9"/>
      <w:lvlJc w:val="left"/>
      <w:pPr>
        <w:tabs>
          <w:tab w:val="num" w:pos="0"/>
        </w:tabs>
        <w:ind w:left="2928" w:hanging="1800"/>
      </w:pPr>
      <w:rPr/>
    </w:lvl>
  </w:abstractNum>
  <w:abstractNum w:abstractNumId="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7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2">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3">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4">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5">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6">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7">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8">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9">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0">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1">
    <w:lvl w:ilvl="0">
      <w:start w:val="1"/>
      <w:numFmt w:val="decimal"/>
      <w:lvlText w:val="%1."/>
      <w:lvlJc w:val="left"/>
      <w:pPr>
        <w:tabs>
          <w:tab w:val="num" w:pos="0"/>
        </w:tabs>
        <w:ind w:left="1495" w:hanging="360"/>
      </w:pPr>
      <w:rPr>
        <w:b/>
        <w:rFonts w:ascii="Calibri" w:hAnsi="Calibri"/>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3"/>
  </w:num>
  <w:num w:numId="104">
    <w:abstractNumId w:val="3"/>
  </w:num>
  <w:num w:numId="105">
    <w:abstractNumId w:val="3"/>
  </w:num>
  <w:num w:numId="106">
    <w:abstractNumId w:val="3"/>
  </w:num>
  <w:num w:numId="107">
    <w:abstractNumId w:val="3"/>
  </w:num>
  <w:num w:numId="108">
    <w:abstractNumId w:val="3"/>
  </w:num>
  <w:num w:numId="109">
    <w:abstractNumId w:val="3"/>
  </w:num>
  <w:num w:numId="110">
    <w:abstractNumId w:val="3"/>
  </w:num>
  <w:num w:numId="111">
    <w:abstractNumId w:val="3"/>
  </w:num>
  <w:num w:numId="112">
    <w:abstractNumId w:val="3"/>
  </w:num>
  <w:num w:numId="113">
    <w:abstractNumId w:val="3"/>
  </w:num>
  <w:num w:numId="114">
    <w:abstractNumId w:val="3"/>
  </w:num>
  <w:num w:numId="115">
    <w:abstractNumId w:val="3"/>
  </w:num>
  <w:num w:numId="116">
    <w:abstractNumId w:val="3"/>
  </w:num>
  <w:num w:numId="117">
    <w:abstractNumId w:val="3"/>
  </w:num>
  <w:num w:numId="118">
    <w:abstractNumId w:val="3"/>
  </w:num>
  <w:num w:numId="119">
    <w:abstractNumId w:val="3"/>
  </w:num>
  <w:num w:numId="120">
    <w:abstractNumId w:val="3"/>
  </w:num>
  <w:num w:numId="121">
    <w:abstractNumId w:val="3"/>
  </w:num>
  <w:num w:numId="122">
    <w:abstractNumId w:val="3"/>
  </w:num>
  <w:num w:numId="123">
    <w:abstractNumId w:val="3"/>
  </w:num>
  <w:num w:numId="124">
    <w:abstractNumId w:val="3"/>
  </w:num>
  <w:num w:numId="125">
    <w:abstractNumId w:val="3"/>
  </w:num>
  <w:num w:numId="126">
    <w:abstractNumId w:val="3"/>
  </w:num>
  <w:num w:numId="127">
    <w:abstractNumId w:val="3"/>
  </w:num>
  <w:num w:numId="128">
    <w:abstractNumId w:val="3"/>
  </w:num>
  <w:num w:numId="129">
    <w:abstractNumId w:val="3"/>
  </w:num>
  <w:num w:numId="130">
    <w:abstractNumId w:val="3"/>
  </w:num>
  <w:num w:numId="131">
    <w:abstractNumId w:val="3"/>
  </w:num>
  <w:num w:numId="132">
    <w:abstractNumId w:val="3"/>
  </w:num>
  <w:num w:numId="133">
    <w:abstractNumId w:val="3"/>
  </w:num>
  <w:num w:numId="134">
    <w:abstractNumId w:val="3"/>
  </w:num>
  <w:num w:numId="135">
    <w:abstractNumId w:val="3"/>
  </w:num>
  <w:num w:numId="136">
    <w:abstractNumId w:val="3"/>
  </w:num>
  <w:num w:numId="137">
    <w:abstractNumId w:val="3"/>
  </w:num>
  <w:num w:numId="138">
    <w:abstractNumId w:val="3"/>
  </w:num>
  <w:num w:numId="139">
    <w:abstractNumId w:val="3"/>
  </w:num>
  <w:num w:numId="140">
    <w:abstractNumId w:val="3"/>
  </w:num>
  <w:num w:numId="141">
    <w:abstractNumId w:val="3"/>
  </w:num>
  <w:num w:numId="142">
    <w:abstractNumId w:val="3"/>
  </w:num>
  <w:num w:numId="143">
    <w:abstractNumId w:val="3"/>
  </w:num>
  <w:num w:numId="144">
    <w:abstractNumId w:val="3"/>
  </w:num>
  <w:num w:numId="145">
    <w:abstractNumId w:val="3"/>
  </w:num>
  <w:num w:numId="146">
    <w:abstractNumId w:val="3"/>
  </w:num>
  <w:num w:numId="147">
    <w:abstractNumId w:val="3"/>
  </w:num>
  <w:num w:numId="148">
    <w:abstractNumId w:val="3"/>
  </w:num>
  <w:num w:numId="149">
    <w:abstractNumId w:val="3"/>
  </w:num>
  <w:num w:numId="150">
    <w:abstractNumId w:val="3"/>
  </w:num>
  <w:num w:numId="151">
    <w:abstractNumId w:val="3"/>
  </w:num>
  <w:num w:numId="152">
    <w:abstractNumId w:val="3"/>
  </w:num>
  <w:num w:numId="153">
    <w:abstractNumId w:val="3"/>
  </w:num>
  <w:num w:numId="154">
    <w:abstractNumId w:val="3"/>
  </w:num>
  <w:num w:numId="155">
    <w:abstractNumId w:val="3"/>
    <w:lvlOverride w:ilvl="0">
      <w:startOverride w:val="1"/>
    </w:lvlOverride>
  </w:num>
  <w:num w:numId="156">
    <w:abstractNumId w:val="3"/>
  </w:num>
  <w:num w:numId="157">
    <w:abstractNumId w:val="3"/>
  </w:num>
  <w:num w:numId="158">
    <w:abstractNumId w:val="3"/>
  </w:num>
  <w:num w:numId="159">
    <w:abstractNumId w:val="3"/>
  </w:num>
  <w:num w:numId="160">
    <w:abstractNumId w:val="3"/>
  </w:num>
  <w:num w:numId="161">
    <w:abstractNumId w:val="3"/>
  </w:num>
  <w:num w:numId="162">
    <w:abstractNumId w:val="3"/>
  </w:num>
  <w:num w:numId="163">
    <w:abstractNumId w:val="3"/>
  </w:num>
  <w:num w:numId="164">
    <w:abstractNumId w:val="3"/>
  </w:num>
  <w:num w:numId="165">
    <w:abstractNumId w:val="3"/>
  </w:num>
  <w:num w:numId="166">
    <w:abstractNumId w:val="3"/>
  </w:num>
  <w:num w:numId="167">
    <w:abstractNumId w:val="3"/>
  </w:num>
  <w:num w:numId="168">
    <w:abstractNumId w:val="3"/>
  </w:num>
  <w:num w:numId="169">
    <w:abstractNumId w:val="3"/>
  </w:num>
  <w:num w:numId="170">
    <w:abstractNumId w:val="3"/>
  </w:num>
  <w:num w:numId="171">
    <w:abstractNumId w:val="3"/>
  </w:num>
  <w:num w:numId="172">
    <w:abstractNumId w:val="3"/>
  </w:num>
  <w:num w:numId="173">
    <w:abstractNumId w:val="3"/>
  </w:num>
  <w:num w:numId="174">
    <w:abstractNumId w:val="3"/>
  </w:num>
  <w:num w:numId="175">
    <w:abstractNumId w:val="3"/>
  </w:num>
  <w:num w:numId="176">
    <w:abstractNumId w:val="3"/>
  </w:num>
  <w:num w:numId="177">
    <w:abstractNumId w:val="3"/>
  </w:num>
  <w:num w:numId="178">
    <w:abstractNumId w:val="3"/>
  </w:num>
  <w:num w:numId="179">
    <w:abstractNumId w:val="3"/>
  </w:num>
  <w:num w:numId="180">
    <w:abstractNumId w:val="3"/>
  </w:num>
  <w:num w:numId="181">
    <w:abstractNumId w:val="3"/>
  </w:num>
  <w:num w:numId="182">
    <w:abstractNumId w:val="3"/>
  </w:num>
  <w:num w:numId="183">
    <w:abstractNumId w:val="3"/>
  </w:num>
  <w:num w:numId="184">
    <w:abstractNumId w:val="3"/>
  </w:num>
  <w:num w:numId="185">
    <w:abstractNumId w:val="3"/>
  </w:num>
  <w:num w:numId="186">
    <w:abstractNumId w:val="3"/>
  </w:num>
  <w:num w:numId="187">
    <w:abstractNumId w:val="3"/>
  </w:num>
  <w:num w:numId="188">
    <w:abstractNumId w:val="3"/>
  </w:num>
  <w:num w:numId="189">
    <w:abstractNumId w:val="3"/>
  </w:num>
  <w:num w:numId="190">
    <w:abstractNumId w:val="3"/>
  </w:num>
  <w:num w:numId="191">
    <w:abstractNumId w:val="3"/>
  </w:num>
  <w:num w:numId="192">
    <w:abstractNumId w:val="3"/>
  </w:num>
  <w:num w:numId="193">
    <w:abstractNumId w:val="3"/>
  </w:num>
  <w:num w:numId="194">
    <w:abstractNumId w:val="3"/>
  </w:num>
  <w:num w:numId="195">
    <w:abstractNumId w:val="3"/>
  </w:num>
  <w:num w:numId="196">
    <w:abstractNumId w:val="3"/>
  </w:num>
  <w:num w:numId="197">
    <w:abstractNumId w:val="3"/>
  </w:num>
</w:numbering>
</file>

<file path=word/settings.xml><?xml version="1.0" encoding="utf-8"?>
<w:settings xmlns:w="http://schemas.openxmlformats.org/wordprocessingml/2006/main">
  <w:zoom w:percent="130"/>
  <w:mirrorMargins/>
  <w:defaultTabStop w:val="709"/>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196a7f"/>
    <w:pPr>
      <w:keepNext w:val="true"/>
      <w:keepLines/>
      <w:spacing w:before="480" w:after="0"/>
      <w:outlineLvl w:val="0"/>
    </w:pPr>
    <w:rPr>
      <w:rFonts w:ascii="Arial" w:hAnsi="Arial" w:eastAsia="" w:cs="" w:cstheme="majorBidi" w:eastAsiaTheme="majorEastAsia"/>
      <w:b/>
      <w:bCs/>
      <w:sz w:val="20"/>
      <w:szCs w:val="28"/>
    </w:rPr>
  </w:style>
  <w:style w:type="paragraph" w:styleId="Heading2">
    <w:name w:val="Heading 2"/>
    <w:basedOn w:val="Normal"/>
    <w:next w:val="Normal"/>
    <w:link w:val="Ttulo2Char"/>
    <w:qFormat/>
    <w:rsid w:val="00196a7f"/>
    <w:pPr>
      <w:keepNext w:val="true"/>
      <w:spacing w:lineRule="auto" w:line="276" w:before="120" w:after="120"/>
      <w:ind w:hanging="0" w:left="0"/>
      <w:jc w:val="both"/>
      <w:outlineLvl w:val="1"/>
    </w:pPr>
    <w:rPr>
      <w:rFonts w:ascii="Arial" w:hAnsi="Arial" w:cs="Times New Roman"/>
      <w:sz w:val="2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unhideWhenUsed/>
    <w:qFormat/>
    <w:rsid w:val="00196a7f"/>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3b3af3"/>
    <w:rPr>
      <w:rFonts w:ascii="Arial" w:hAnsi="Arial" w:eastAsia="Arial" w:cs="Arial"/>
      <w:b/>
      <w:i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501cb5"/>
    <w:rPr>
      <w:rFonts w:ascii="Arial" w:hAnsi="Arial" w:eastAsia="" w:cs="" w:cstheme="majorBidi" w:eastAsiaTheme="majorEastAsia"/>
      <w:b/>
      <w:bCs/>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i w:val="false"/>
      <w:i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Cs w:val="28"/>
      <w:lang w:eastAsia="pt-BR"/>
    </w:rPr>
  </w:style>
  <w:style w:type="character" w:styleId="Nivel4Char" w:customStyle="1">
    <w:name w:val="Nivel 4 Char"/>
    <w:basedOn w:val="DefaultParagraphFont"/>
    <w:link w:val="Nivel4"/>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customStyle="1">
    <w:name w:val="Strong"/>
    <w:qFormat/>
    <w:rsid w:val="00fe1da8"/>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color w:val="FF0000"/>
      <w:shd w:fill="76923C" w:val="clear"/>
      <w:lang w:eastAsia="pt-BR"/>
    </w:rPr>
  </w:style>
  <w:style w:type="character" w:styleId="Nvel3OpcionalChar" w:customStyle="1">
    <w:name w:val="Nível 3 Opcional Char"/>
    <w:basedOn w:val="DefaultParagraphFont"/>
    <w:link w:val="Nvel3Opcional"/>
    <w:qFormat/>
    <w:rsid w:val="00a831d9"/>
    <w:rPr>
      <w:rFonts w:ascii="Arial" w:hAnsi="Arial" w:eastAsia="Times New Roman" w:cs="Tahoma"/>
      <w:i/>
      <w:iCs/>
      <w:color w:val="FF0000"/>
      <w:szCs w:val="24"/>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link w:val="Nvel02"/>
    <w:qFormat/>
    <w:rsid w:val="00733697"/>
    <w:rPr>
      <w:rFonts w:ascii="Arial" w:hAnsi="Arial" w:eastAsia="Arial" w:cs="Arial"/>
      <w:i w:val="false"/>
      <w:iCs/>
      <w:color w:val="FF0000"/>
      <w:shd w:fill="76923C" w:val="clear"/>
      <w:lang w:eastAsia="pt-BR"/>
    </w:rPr>
  </w:style>
  <w:style w:type="character" w:styleId="Nivel3-erroChar" w:customStyle="1">
    <w:name w:val="Nivel 3-erro Char"/>
    <w:basedOn w:val="DefaultParagraphFont"/>
    <w:qFormat/>
    <w:rsid w:val="00667c40"/>
    <w:rPr>
      <w:rFonts w:ascii="Arial" w:hAnsi="Arial" w:cs="Tahoma"/>
      <w:szCs w:val="24"/>
      <w:lang w:eastAsia="pt-BR"/>
    </w:rPr>
  </w:style>
  <w:style w:type="character" w:styleId="Nvel3-RChar" w:customStyle="1">
    <w:name w:val="Nível 3-R Char"/>
    <w:basedOn w:val="Nivel3-erroChar"/>
    <w:qFormat/>
    <w:rsid w:val="0074191c"/>
    <w:rPr>
      <w:rFonts w:ascii="Arial" w:hAnsi="Arial" w:cs="Arial"/>
      <w:i/>
      <w:iCs/>
      <w:color w:val="FF0000"/>
      <w:szCs w:val="24"/>
      <w:lang w:eastAsia="pt-BR"/>
    </w:rPr>
  </w:style>
  <w:style w:type="character" w:styleId="Nvel4-RChar" w:customStyle="1">
    <w:name w:val="Nível 4-R Char"/>
    <w:basedOn w:val="Nivel4Char"/>
    <w:qFormat/>
    <w:rsid w:val="00d16569"/>
    <w:rPr>
      <w:rFonts w:ascii="Arial" w:hAnsi="Arial" w:cs="Arial"/>
      <w:bCs/>
      <w:i/>
      <w:color w:val="FF0000"/>
      <w:lang w:eastAsia="pt-BR"/>
    </w:rPr>
  </w:style>
  <w:style w:type="character" w:styleId="Nvel1-SemNumChar" w:customStyle="1">
    <w:name w:val="Nível 1-Sem Num Char"/>
    <w:basedOn w:val="Nivel01Char"/>
    <w:qFormat/>
    <w:rsid w:val="0017216b"/>
    <w:rPr>
      <w:rFonts w:ascii="Arial" w:hAnsi="Arial" w:eastAsia="Arial" w:cs="Arial"/>
      <w:b/>
      <w:iCs/>
      <w:color w:themeColor="text2" w:themeShade="bf" w:val="17365D"/>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qFormat/>
    <w:rsid w:val="001e22b4"/>
    <w:rPr>
      <w:rFonts w:ascii="Arial" w:hAnsi="Arial" w:eastAsia="Arial" w:cs="Arial"/>
      <w:b/>
      <w:i/>
      <w:iCs/>
      <w:color w:themeColor="text2" w:themeShade="bf" w:val="FF0000"/>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link w:val="Alteraes"/>
    <w:uiPriority w:val="1"/>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link w:val="Nivel3"/>
    <w:qFormat/>
    <w:rsid w:val="00591ffe"/>
    <w:rPr>
      <w:rFonts w:ascii="Arial" w:hAnsi="Arial" w:cs="Tahoma"/>
      <w:szCs w:val="24"/>
      <w:lang w:eastAsia="pt-BR"/>
    </w:rPr>
  </w:style>
  <w:style w:type="character" w:styleId="UnresolvedMention">
    <w:name w:val="Unresolved Mention"/>
    <w:basedOn w:val="DefaultParagraphFont"/>
    <w:uiPriority w:val="99"/>
    <w:semiHidden/>
    <w:unhideWhenUsed/>
    <w:qFormat/>
    <w:rsid w:val="00793206"/>
    <w:rPr>
      <w:color w:val="605E5C"/>
      <w:shd w:fill="E1DFDD" w:val="clear"/>
    </w:rPr>
  </w:style>
  <w:style w:type="character" w:styleId="Nvel2-OpcionalChar" w:customStyle="1">
    <w:name w:val="Nível 2-Opcional Char"/>
    <w:basedOn w:val="Nvel02Char"/>
    <w:qFormat/>
    <w:rsid w:val="00a70641"/>
    <w:rPr>
      <w:rFonts w:ascii="Arial" w:hAnsi="Arial" w:eastAsia="Arial" w:cs="Arial"/>
      <w:i/>
      <w:iCs/>
      <w:color w:val="FF0000"/>
      <w:shd w:fill="76923C" w:val="clear"/>
      <w:lang w:eastAsia="pt-BR"/>
    </w:rPr>
  </w:style>
  <w:style w:type="character" w:styleId="Nvel3-OpcionalChar" w:customStyle="1">
    <w:name w:val="Nível 3-Opcional Char"/>
    <w:basedOn w:val="Nivel3Char"/>
    <w:qFormat/>
    <w:rsid w:val="00a70641"/>
    <w:rPr>
      <w:rFonts w:ascii="Arial" w:hAnsi="Arial" w:cs="Tahoma"/>
      <w:i/>
      <w:color w:val="FF0000"/>
      <w:szCs w:val="24"/>
      <w:lang w:eastAsia="pt-BR"/>
    </w:rPr>
  </w:style>
  <w:style w:type="character" w:styleId="Nvel1-SemBlackChar" w:customStyle="1">
    <w:name w:val="Nível 1-Sem Black Char"/>
    <w:basedOn w:val="DefaultParagraphFont"/>
    <w:uiPriority w:val="1"/>
    <w:qFormat/>
    <w:rsid w:val="00243342"/>
    <w:rPr>
      <w:rFonts w:ascii="Arial" w:hAnsi="Arial" w:eastAsia="" w:cs="Arial" w:eastAsiaTheme="majorEastAsia"/>
      <w:b/>
      <w:bCs/>
      <w:lang w:eastAsia="pt-BR"/>
    </w:rPr>
  </w:style>
  <w:style w:type="character" w:styleId="Nivel2Char" w:customStyle="1">
    <w:name w:val="Nivel 2 Char"/>
    <w:basedOn w:val="DefaultParagraphFont"/>
    <w:link w:val="Nivel2"/>
    <w:qFormat/>
    <w:locked/>
    <w:rsid w:val="00196a7f"/>
    <w:rPr>
      <w:rFonts w:ascii="Arial" w:hAnsi="Arial" w:eastAsia="Arial" w:cs="Arial"/>
      <w:lang w:eastAsia="pt-BR"/>
    </w:rPr>
  </w:style>
  <w:style w:type="character" w:styleId="Nvel2-RedChar" w:customStyle="1">
    <w:name w:val="Nível 2 -Red Char"/>
    <w:basedOn w:val="Nivel2Char"/>
    <w:qFormat/>
    <w:rsid w:val="00196a7f"/>
    <w:rPr>
      <w:rFonts w:ascii="Arial" w:hAnsi="Arial" w:eastAsia="Arial" w:cs="Arial"/>
      <w:i/>
      <w:iCs/>
      <w:color w:val="FF0000"/>
      <w:lang w:eastAsia="pt-BR"/>
    </w:rPr>
  </w:style>
  <w:style w:type="character" w:styleId="Mentionnonrsolue1" w:customStyle="1">
    <w:name w:val="Mention non résolue1"/>
    <w:basedOn w:val="DefaultParagraphFont"/>
    <w:uiPriority w:val="99"/>
    <w:semiHidden/>
    <w:unhideWhenUsed/>
    <w:qFormat/>
    <w:rsid w:val="00196a7f"/>
    <w:rPr>
      <w:color w:val="605E5C"/>
      <w:shd w:fill="E1DFDD" w:val="clear"/>
    </w:rPr>
  </w:style>
  <w:style w:type="character" w:styleId="Findhit" w:customStyle="1">
    <w:name w:val="findhit"/>
    <w:basedOn w:val="DefaultParagraphFont"/>
    <w:qFormat/>
    <w:rsid w:val="00196a7f"/>
    <w:rPr/>
  </w:style>
  <w:style w:type="character" w:styleId="Meno1" w:customStyle="1">
    <w:name w:val="Menção1"/>
    <w:basedOn w:val="DefaultParagraphFont"/>
    <w:uiPriority w:val="99"/>
    <w:unhideWhenUsed/>
    <w:qFormat/>
    <w:rsid w:val="00196a7f"/>
    <w:rPr>
      <w:color w:val="2B579A"/>
      <w:shd w:fill="E6E6E6" w:val="clear"/>
    </w:rPr>
  </w:style>
  <w:style w:type="character" w:styleId="Nvel1-SemNumPretoChar" w:customStyle="1">
    <w:name w:val="Nível 1-Sem Num Preto Char"/>
    <w:basedOn w:val="Nvel1-SemNumChar"/>
    <w:qFormat/>
    <w:rsid w:val="00196a7f"/>
    <w:rPr>
      <w:rFonts w:ascii="Arial" w:hAnsi="Arial" w:eastAsia="" w:cs="Arial" w:eastAsiaTheme="majorEastAsia"/>
      <w:b/>
      <w:bCs/>
      <w:i/>
      <w:iCs w:val="false"/>
      <w:color w:themeColor="text2" w:themeShade="bf" w:val="FF0000"/>
      <w:spacing w:val="5"/>
      <w:kern w:val="2"/>
      <w:sz w:val="52"/>
      <w:szCs w:val="52"/>
      <w:lang w:eastAsia="zh-CN" w:bidi="hi-IN"/>
    </w:rPr>
  </w:style>
  <w:style w:type="character" w:styleId="Cf01" w:customStyle="1">
    <w:name w:val="cf01"/>
    <w:basedOn w:val="DefaultParagraphFont"/>
    <w:qFormat/>
    <w:rsid w:val="00196a7f"/>
    <w:rPr>
      <w:rFonts w:ascii="Segoe UI" w:hAnsi="Segoe UI" w:cs="Segoe UI"/>
      <w:b/>
      <w:bCs/>
      <w:i/>
      <w:iCs/>
      <w:sz w:val="18"/>
      <w:szCs w:val="18"/>
    </w:rPr>
  </w:style>
  <w:style w:type="character" w:styleId="TextodecomentrioChar1" w:customStyle="1">
    <w:name w:val="Texto de comentário Char1"/>
    <w:basedOn w:val="DefaultParagraphFont"/>
    <w:uiPriority w:val="99"/>
    <w:qFormat/>
    <w:rsid w:val="00196a7f"/>
    <w:rPr>
      <w:rFonts w:ascii="Ecofont_Spranq_eco_Sans" w:hAnsi="Ecofont_Spranq_eco_Sans" w:cs="Tahoma"/>
      <w:lang w:eastAsia="pt-BR"/>
    </w:rPr>
  </w:style>
  <w:style w:type="character" w:styleId="Nvel4-RedChar" w:customStyle="1">
    <w:name w:val="Nível 4-Red Char"/>
    <w:basedOn w:val="DefaultParagraphFont"/>
    <w:qFormat/>
    <w:rsid w:val="00196a7f"/>
    <w:rPr>
      <w:rFonts w:ascii="Arial" w:hAnsi="Arial" w:eastAsia="MS Mincho" w:cs="Arial"/>
      <w:iCs/>
      <w:color w:val="FF0000"/>
    </w:rPr>
  </w:style>
  <w:style w:type="character" w:styleId="Nivel4Char1" w:customStyle="1">
    <w:name w:val="Nivel 4 Char1"/>
    <w:basedOn w:val="DefaultParagraphFont"/>
    <w:qFormat/>
    <w:rsid w:val="00196a7f"/>
    <w:rPr>
      <w:rFonts w:ascii="Arial" w:hAnsi="Arial" w:cs="Arial"/>
      <w:color w:val="000000"/>
      <w:lang w:eastAsia="pt-BR"/>
    </w:rPr>
  </w:style>
  <w:style w:type="character" w:styleId="Estilo7Char" w:customStyle="1">
    <w:name w:val="Estilo7 Char"/>
    <w:basedOn w:val="Nivel2Char"/>
    <w:link w:val="Estilo7"/>
    <w:qFormat/>
    <w:rsid w:val="00196a7f"/>
    <w:rPr>
      <w:rFonts w:ascii="Arial" w:hAnsi="Arial" w:eastAsia="Arial" w:cs="Arial"/>
      <w:i/>
      <w:color w:val="FF0000"/>
      <w:lang w:eastAsia="pt-BR"/>
    </w:rPr>
  </w:style>
  <w:style w:type="character" w:styleId="Estilo8Char" w:customStyle="1">
    <w:name w:val="Estilo8 Char"/>
    <w:basedOn w:val="Nivel3Char"/>
    <w:link w:val="Estilo8"/>
    <w:qFormat/>
    <w:rsid w:val="00196a7f"/>
    <w:rPr>
      <w:rFonts w:ascii="Arial" w:hAnsi="Arial" w:cs="Arial"/>
      <w:i/>
      <w:color w:val="FF0000"/>
      <w:szCs w:val="24"/>
      <w:lang w:eastAsia="pt-BR"/>
    </w:rPr>
  </w:style>
  <w:style w:type="character" w:styleId="Nivel5Char" w:customStyle="1">
    <w:name w:val="Nivel 5 Char"/>
    <w:basedOn w:val="Nivel4Char"/>
    <w:link w:val="Nivel5"/>
    <w:qFormat/>
    <w:rsid w:val="00196a7f"/>
    <w:rPr>
      <w:rFonts w:ascii="Arial" w:hAnsi="Arial" w:cs="Arial"/>
      <w:bCs/>
      <w:i/>
      <w:color w:val="FF0000"/>
      <w:lang w:eastAsia="pt-BR"/>
    </w:rPr>
  </w:style>
  <w:style w:type="character" w:styleId="Estilo9Char" w:customStyle="1">
    <w:name w:val="Estilo9 Char"/>
    <w:basedOn w:val="Nivel5Char"/>
    <w:link w:val="Estilo9"/>
    <w:qFormat/>
    <w:rsid w:val="00196a7f"/>
    <w:rPr>
      <w:rFonts w:ascii="Arial" w:hAnsi="Arial" w:cs="Arial"/>
      <w:bCs/>
      <w:i w:val="false"/>
      <w:color w:val="FF0000"/>
      <w:szCs w:val="24"/>
      <w:lang w:eastAsia="pt-BR"/>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1"/>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9"/>
        <w:tab w:val="center" w:pos="4252" w:leader="none"/>
        <w:tab w:val="right" w:pos="8504" w:leader="none"/>
      </w:tabs>
    </w:pPr>
    <w:rPr/>
  </w:style>
  <w:style w:type="paragraph" w:styleId="Footer">
    <w:name w:val="Footer"/>
    <w:basedOn w:val="Normal"/>
    <w:link w:val="RodapChar"/>
    <w:uiPriority w:val="99"/>
    <w:rsid w:val="00ca24fb"/>
    <w:pPr>
      <w:tabs>
        <w:tab w:val="clear" w:pos="709"/>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ListParagraph"/>
    <w:next w:val="Normal"/>
    <w:link w:val="Nivel01Char"/>
    <w:autoRedefine/>
    <w:qFormat/>
    <w:rsid w:val="003b3af3"/>
    <w:pPr>
      <w:spacing w:lineRule="auto" w:line="276" w:before="360" w:after="120"/>
      <w:ind w:hanging="357" w:left="357"/>
      <w:contextualSpacing w:val="false"/>
      <w:jc w:val="both"/>
      <w:outlineLvl w:val="0"/>
    </w:pPr>
    <w:rPr>
      <w:rFonts w:ascii="Arial" w:hAnsi="Arial" w:eastAsia="Arial" w:cs="Arial"/>
      <w:b/>
      <w:iCs/>
      <w:sz w:val="20"/>
      <w:szCs w:val="20"/>
    </w:rPr>
  </w:style>
  <w:style w:type="paragraph" w:styleId="Nivel01Titulo" w:customStyle="1">
    <w:name w:val="Nivel_01_Titulo"/>
    <w:basedOn w:val="Nivel01"/>
    <w:link w:val="Nivel01TituloChar"/>
    <w:qFormat/>
    <w:rsid w:val="00196a7f"/>
    <w:pPr>
      <w:jc w:val="left"/>
      <w:outlineLvl w:val="9"/>
    </w:pPr>
    <w:rPr>
      <w:rFonts w:cs="" w:cstheme="majorBidi"/>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196a7f"/>
    <w:pPr>
      <w:spacing w:lineRule="auto" w:line="276"/>
      <w:ind w:hanging="357" w:left="357"/>
      <w:jc w:val="both"/>
      <w:outlineLvl w:val="9"/>
    </w:pPr>
    <w:rPr>
      <w:rFonts w:cs="Arial"/>
      <w:bCs w:val="false"/>
      <w:color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Opcional" w:customStyle="1">
    <w:name w:val="Nivel 2-Opcional"/>
    <w:basedOn w:val="Normal"/>
    <w:autoRedefine/>
    <w:qFormat/>
    <w:rsid w:val="00ee5824"/>
    <w:pPr>
      <w:numPr>
        <w:ilvl w:val="0"/>
        <w:numId w:val="3"/>
      </w:numPr>
      <w:shd w:val="clear" w:color="auto" w:fill="76923C" w:themeFill="accent3" w:themeFillShade="bf"/>
      <w:spacing w:lineRule="auto" w:line="276" w:before="120" w:after="120"/>
      <w:ind w:hanging="0" w:left="0"/>
      <w:jc w:val="both"/>
    </w:pPr>
    <w:rPr>
      <w:rFonts w:ascii="Arial" w:hAnsi="Arial" w:eastAsia="Arial" w:cs="Arial"/>
      <w:i/>
      <w:color w:val="FF0000"/>
      <w:sz w:val="20"/>
      <w:szCs w:val="20"/>
    </w:rPr>
  </w:style>
  <w:style w:type="paragraph" w:styleId="Nivel11" w:customStyle="1">
    <w:name w:val="Nivel 1"/>
    <w:basedOn w:val="Nivel2-Opcional"/>
    <w:next w:val="Nivel2-Opcional"/>
    <w:qFormat/>
    <w:rsid w:val="00196a7f"/>
    <w:pPr>
      <w:numPr>
        <w:ilvl w:val="0"/>
        <w:numId w:val="0"/>
      </w:numPr>
      <w:ind w:hanging="360" w:left="360"/>
    </w:pPr>
    <w:rPr>
      <w:b/>
    </w:rPr>
  </w:style>
  <w:style w:type="paragraph" w:styleId="Nivel3-erro" w:customStyle="1">
    <w:name w:val="Nivel 3-erro"/>
    <w:basedOn w:val="Nivel3"/>
    <w:autoRedefine/>
    <w:qFormat/>
    <w:rsid w:val="00196a7f"/>
    <w:pPr>
      <w:numPr>
        <w:ilvl w:val="0"/>
        <w:numId w:val="2"/>
      </w:numPr>
      <w:ind w:hanging="0" w:left="993"/>
    </w:pPr>
    <w:rPr/>
  </w:style>
  <w:style w:type="paragraph" w:styleId="Nivel4" w:customStyle="1">
    <w:name w:val="Nivel 4"/>
    <w:basedOn w:val="Nvel4-R"/>
    <w:link w:val="Nivel4Char"/>
    <w:autoRedefine/>
    <w:qFormat/>
    <w:rsid w:val="00196a7f"/>
    <w:pPr/>
    <w:rPr>
      <w:i w:val="false"/>
      <w:color w:val="auto"/>
    </w:rPr>
  </w:style>
  <w:style w:type="paragraph" w:styleId="Nivel5" w:customStyle="1">
    <w:name w:val="Nivel 5"/>
    <w:basedOn w:val="Nvel4-R"/>
    <w:link w:val="Nivel5Char"/>
    <w:autoRedefine/>
    <w:qFormat/>
    <w:rsid w:val="00196a7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Opcional"/>
    <w:link w:val="Nvel2OpcionalChar"/>
    <w:qFormat/>
    <w:rsid w:val="00196a7f"/>
    <w:pPr>
      <w:numPr>
        <w:ilvl w:val="0"/>
        <w:numId w:val="0"/>
      </w:numPr>
      <w:ind w:hanging="432" w:left="432"/>
    </w:pPr>
    <w:rPr>
      <w:rFonts w:eastAsia="Times New Roman"/>
      <w:i w:val="false"/>
    </w:rPr>
  </w:style>
  <w:style w:type="paragraph" w:styleId="Nvel3Opcional" w:customStyle="1">
    <w:name w:val="Nível 3 Opcional"/>
    <w:basedOn w:val="Nivel3-erro"/>
    <w:link w:val="Nvel3OpcionalChar"/>
    <w:qFormat/>
    <w:rsid w:val="00196a7f"/>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196a7f"/>
    <w:pPr>
      <w:spacing w:lineRule="auto" w:line="259" w:before="60" w:after="60"/>
      <w:ind w:hanging="0" w:left="0"/>
      <w:contextualSpacing w:val="false"/>
      <w:jc w:val="center"/>
    </w:pPr>
    <w:rPr>
      <w:rFonts w:ascii="Arial" w:hAnsi="Arial" w:eastAsia="Cambria" w:cs="Arial" w:eastAsiaTheme="minorHAnsi"/>
      <w:b/>
      <w:bCs/>
      <w:i/>
      <w:iCs/>
      <w:color w:val="FF0000"/>
      <w:sz w:val="20"/>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02" w:customStyle="1">
    <w:name w:val="Nível 02"/>
    <w:basedOn w:val="Nivel2-Opcional"/>
    <w:link w:val="Nvel02Char"/>
    <w:autoRedefine/>
    <w:qFormat/>
    <w:rsid w:val="00733697"/>
    <w:pPr>
      <w:shd w:val="clear" w:color="auto" w:fill="auto"/>
    </w:pPr>
    <w:rPr>
      <w:rFonts w:ascii="Calibri" w:hAnsi="Calibri"/>
      <w:b/>
      <w:bCs/>
      <w:i w:val="false"/>
      <w:iCs/>
      <w:color w:val="auto"/>
    </w:rPr>
  </w:style>
  <w:style w:type="paragraph" w:styleId="Nvel3-R" w:customStyle="1">
    <w:name w:val="Nível 3-R"/>
    <w:basedOn w:val="Nivel3-erro"/>
    <w:autoRedefine/>
    <w:qFormat/>
    <w:rsid w:val="00196a7f"/>
    <w:pPr>
      <w:ind w:hanging="504" w:left="1638"/>
    </w:pPr>
    <w:rPr>
      <w:rFonts w:cs="Arial"/>
      <w:i/>
      <w:iCs/>
      <w:color w:val="FF0000"/>
    </w:rPr>
  </w:style>
  <w:style w:type="paragraph" w:styleId="Nvel4-R" w:customStyle="1">
    <w:name w:val="Nível 4-R"/>
    <w:basedOn w:val="Nvel3-Opcional"/>
    <w:autoRedefine/>
    <w:qFormat/>
    <w:rsid w:val="00196a7f"/>
    <w:pPr>
      <w:ind w:hanging="0" w:left="567"/>
    </w:pPr>
    <w:rPr>
      <w:rFonts w:cs="Arial"/>
      <w:bCs/>
      <w:szCs w:val="20"/>
    </w:rPr>
  </w:style>
  <w:style w:type="paragraph" w:styleId="Nvel1-SemNum" w:customStyle="1">
    <w:name w:val="Nível 1-Sem Num"/>
    <w:basedOn w:val="Nivel01"/>
    <w:autoRedefine/>
    <w:qFormat/>
    <w:rsid w:val="0017216b"/>
    <w:pPr>
      <w:spacing w:before="120" w:after="120"/>
      <w:ind w:hanging="357" w:left="357"/>
      <w:outlineLvl w:val="1"/>
    </w:pPr>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Nvel1-SemNumerao" w:customStyle="1">
    <w:name w:val="Nível 1-Sem Numeração"/>
    <w:basedOn w:val="Nvel1-SemNum"/>
    <w:autoRedefine/>
    <w:qFormat/>
    <w:rsid w:val="001e22b4"/>
    <w:pPr>
      <w:outlineLvl w:val="9"/>
    </w:pPr>
    <w:rPr>
      <w:i/>
    </w:rPr>
  </w:style>
  <w:style w:type="paragraph" w:styleId="Nivel3" w:customStyle="1">
    <w:name w:val="Nivel 3"/>
    <w:basedOn w:val="Normal"/>
    <w:link w:val="Nivel3Char"/>
    <w:qFormat/>
    <w:rsid w:val="00196a7f"/>
    <w:pPr>
      <w:numPr>
        <w:ilvl w:val="0"/>
        <w:numId w:val="4"/>
      </w:numPr>
      <w:spacing w:lineRule="auto" w:line="276" w:before="120" w:after="120"/>
      <w:ind w:hanging="0" w:left="284"/>
      <w:jc w:val="both"/>
    </w:pPr>
    <w:rPr>
      <w:rFonts w:ascii="Arial" w:hAnsi="Arial"/>
      <w:sz w:val="20"/>
    </w:rPr>
  </w:style>
  <w:style w:type="paragraph" w:styleId="Alteraes" w:customStyle="1">
    <w:name w:val="Alterações"/>
    <w:basedOn w:val="Nvel02"/>
    <w:link w:val="AlteraesChar"/>
    <w:uiPriority w:val="1"/>
    <w:qFormat/>
    <w:rsid w:val="00196a7f"/>
    <w:pPr/>
    <w:rPr>
      <w:color w:val="0000FF"/>
    </w:rPr>
  </w:style>
  <w:style w:type="paragraph" w:styleId="Contedodatabela" w:customStyle="1">
    <w:name w:val="Conteúdo da tabela"/>
    <w:basedOn w:val="Normal"/>
    <w:qFormat/>
    <w:rsid w:val="005f7663"/>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customStyle="1">
    <w:name w:val="Nivel 21"/>
    <w:basedOn w:val="Normal"/>
    <w:next w:val="Nivel2-Opcional"/>
    <w:autoRedefine/>
    <w:qFormat/>
    <w:rsid w:val="00591ffe"/>
    <w:pPr>
      <w:shd w:val="clear" w:color="auto" w:fill="948A54" w:themeFill="background2" w:themeFillShade="80"/>
      <w:spacing w:lineRule="auto" w:line="276" w:before="120" w:after="120"/>
      <w:ind w:hanging="432" w:left="999"/>
      <w:jc w:val="both"/>
    </w:pPr>
    <w:rPr>
      <w:rFonts w:ascii="Arial" w:hAnsi="Arial" w:eastAsia="Arial" w:cs="Arial"/>
      <w:color w:themeColor="text1" w:val="000000"/>
      <w:sz w:val="20"/>
      <w:szCs w:val="20"/>
    </w:rPr>
  </w:style>
  <w:style w:type="paragraph" w:styleId="Nvel2-Opcional" w:customStyle="1">
    <w:name w:val="Nível 2-Opcional"/>
    <w:basedOn w:val="Nvel02"/>
    <w:qFormat/>
    <w:rsid w:val="00a70641"/>
    <w:pPr/>
    <w:rPr>
      <w:i/>
      <w:color w:val="FF0000"/>
    </w:rPr>
  </w:style>
  <w:style w:type="paragraph" w:styleId="Nvel3-Opcional" w:customStyle="1">
    <w:name w:val="Nível 3-Opcional"/>
    <w:basedOn w:val="Nivel3"/>
    <w:qFormat/>
    <w:rsid w:val="00a70641"/>
    <w:pPr/>
    <w:rPr>
      <w:i/>
      <w:color w:val="FF0000"/>
    </w:rPr>
  </w:style>
  <w:style w:type="paragraph" w:styleId="Nvel1-SemBlack" w:customStyle="1">
    <w:name w:val="Nível 1-Sem Black"/>
    <w:basedOn w:val="Normal"/>
    <w:uiPriority w:val="1"/>
    <w:qFormat/>
    <w:rsid w:val="00243342"/>
    <w:pPr>
      <w:keepNext w:val="true"/>
      <w:keepLines/>
      <w:tabs>
        <w:tab w:val="clear" w:pos="709"/>
        <w:tab w:val="left" w:pos="567" w:leader="none"/>
      </w:tabs>
      <w:spacing w:lineRule="auto" w:line="276" w:before="240" w:after="120"/>
      <w:jc w:val="both"/>
      <w:outlineLvl w:val="1"/>
    </w:pPr>
    <w:rPr>
      <w:rFonts w:ascii="Arial" w:hAnsi="Arial" w:eastAsia="" w:cs="Arial" w:eastAsiaTheme="majorEastAsia"/>
      <w:b/>
      <w:bCs/>
      <w:sz w:val="20"/>
      <w:szCs w:val="20"/>
    </w:rPr>
  </w:style>
  <w:style w:type="paragraph" w:styleId="Nivel2" w:customStyle="1">
    <w:name w:val="Nivel 2"/>
    <w:basedOn w:val="Normal"/>
    <w:link w:val="Nivel2Char"/>
    <w:autoRedefine/>
    <w:qFormat/>
    <w:rsid w:val="00196a7f"/>
    <w:pPr>
      <w:spacing w:lineRule="auto" w:line="288" w:before="120" w:after="120"/>
      <w:jc w:val="both"/>
    </w:pPr>
    <w:rPr>
      <w:rFonts w:ascii="Arial" w:hAnsi="Arial" w:eastAsia="Arial" w:cs="Arial"/>
      <w:sz w:val="20"/>
      <w:szCs w:val="20"/>
    </w:rPr>
  </w:style>
  <w:style w:type="paragraph" w:styleId="Nvel2-Red" w:customStyle="1">
    <w:name w:val="Nível 2 -Red"/>
    <w:basedOn w:val="Nivel2"/>
    <w:qFormat/>
    <w:rsid w:val="00196a7f"/>
    <w:pPr>
      <w:ind w:hanging="0" w:left="2558"/>
    </w:pPr>
    <w:rPr>
      <w:i/>
      <w:iCs/>
      <w:color w:val="FF0000"/>
    </w:rPr>
  </w:style>
  <w:style w:type="paragraph" w:styleId="Nvel1-SemNumPreto" w:customStyle="1">
    <w:name w:val="Nível 1-Sem Num Preto"/>
    <w:basedOn w:val="Nvel1-SemNum"/>
    <w:qFormat/>
    <w:rsid w:val="00196a7f"/>
    <w:pPr>
      <w:keepNext w:val="true"/>
      <w:keepLines/>
      <w:tabs>
        <w:tab w:val="clear" w:pos="709"/>
        <w:tab w:val="left" w:pos="567" w:leader="none"/>
      </w:tabs>
      <w:spacing w:before="240" w:after="120"/>
      <w:ind w:hanging="357" w:left="720"/>
      <w:outlineLvl w:val="9"/>
    </w:pPr>
    <w:rPr>
      <w:rFonts w:eastAsia="" w:eastAsiaTheme="majorEastAsia"/>
      <w:bCs/>
      <w:i/>
      <w:iCs w:val="false"/>
      <w:spacing w:val="5"/>
      <w:kern w:val="2"/>
      <w:sz w:val="52"/>
      <w:szCs w:val="52"/>
      <w:lang w:eastAsia="zh-CN" w:bidi="hi-IN"/>
    </w:rPr>
  </w:style>
  <w:style w:type="paragraph" w:styleId="Nvel4-Red" w:customStyle="1">
    <w:name w:val="Nível 4-Red"/>
    <w:basedOn w:val="Nivel4"/>
    <w:autoRedefine/>
    <w:qFormat/>
    <w:rsid w:val="00196a7f"/>
    <w:pPr>
      <w:numPr>
        <w:ilvl w:val="0"/>
        <w:numId w:val="0"/>
      </w:numPr>
      <w:suppressAutoHyphens w:val="true"/>
      <w:ind w:hanging="0" w:left="567"/>
    </w:pPr>
    <w:rPr>
      <w:rFonts w:eastAsia="MS Mincho"/>
      <w:bCs w:val="false"/>
      <w:iCs/>
      <w:color w:val="FF0000"/>
      <w:lang w:eastAsia="en-US"/>
    </w:rPr>
  </w:style>
  <w:style w:type="paragraph" w:styleId="Estilo7" w:customStyle="1">
    <w:name w:val="Estilo7"/>
    <w:basedOn w:val="Nivel2"/>
    <w:link w:val="Estilo7Char"/>
    <w:qFormat/>
    <w:rsid w:val="00196a7f"/>
    <w:pPr/>
    <w:rPr>
      <w:i/>
      <w:color w:val="FF0000"/>
    </w:rPr>
  </w:style>
  <w:style w:type="paragraph" w:styleId="Estilo8" w:customStyle="1">
    <w:name w:val="Estilo8"/>
    <w:basedOn w:val="Nivel3"/>
    <w:link w:val="Estilo8Char"/>
    <w:qFormat/>
    <w:rsid w:val="00196a7f"/>
    <w:pPr>
      <w:numPr>
        <w:ilvl w:val="0"/>
        <w:numId w:val="0"/>
      </w:numPr>
      <w:ind w:hanging="0" w:left="1276"/>
    </w:pPr>
    <w:rPr>
      <w:rFonts w:cs="Arial"/>
      <w:i/>
      <w:color w:val="FF0000"/>
    </w:rPr>
  </w:style>
  <w:style w:type="paragraph" w:styleId="Estilo9" w:customStyle="1">
    <w:name w:val="Estilo9"/>
    <w:basedOn w:val="Nivel5"/>
    <w:link w:val="Estilo9Char"/>
    <w:qFormat/>
    <w:rsid w:val="00196a7f"/>
    <w:pPr>
      <w:numPr>
        <w:ilvl w:val="0"/>
        <w:numId w:val="0"/>
      </w:numPr>
      <w:ind w:hanging="360" w:left="1276"/>
    </w:pPr>
    <w:rPr>
      <w:i w:val="false"/>
      <w:szCs w:val="24"/>
    </w:rPr>
  </w:style>
  <w:style w:type="paragraph" w:styleId="EstiloNvel2-Redesquerda176cmPrimeiralinha0cm" w:customStyle="1">
    <w:name w:val="Estilo Nível 2 -Red + À esquerda:  176 cm Primeira linha:  0 cm"/>
    <w:basedOn w:val="Nvel2-Red"/>
    <w:qFormat/>
    <w:rsid w:val="00196a7f"/>
    <w:pPr>
      <w:ind w:hanging="0" w:left="999"/>
    </w:pPr>
    <w:rPr>
      <w:rFonts w:eastAsia="Times New Roman" w:cs="Times New Roman"/>
    </w:rPr>
  </w:style>
  <w:style w:type="paragraph" w:styleId="Textodecomentrio1" w:customStyle="1">
    <w:name w:val="Texto de comentário1"/>
    <w:basedOn w:val="Normal"/>
    <w:next w:val="Annotationtext"/>
    <w:uiPriority w:val="99"/>
    <w:unhideWhenUsed/>
    <w:qFormat/>
    <w:rsid w:val="00196a7f"/>
    <w:pPr/>
    <w:rPr>
      <w:rFonts w:eastAsia="Calibri"/>
      <w:kern w:val="2"/>
      <w:sz w:val="22"/>
      <w:szCs w:val="22"/>
    </w:rPr>
  </w:style>
  <w:style w:type="paragraph" w:styleId="Default" w:customStyle="1">
    <w:name w:val="Default"/>
    <w:qFormat/>
    <w:rsid w:val="00fe1da8"/>
    <w:pPr>
      <w:widowControl w:val="false"/>
      <w:suppressAutoHyphens w:val="true"/>
      <w:bidi w:val="0"/>
      <w:spacing w:before="0" w:after="0"/>
      <w:jc w:val="left"/>
      <w:textAlignment w:val="baseline"/>
    </w:pPr>
    <w:rPr>
      <w:rFonts w:ascii="Times New Roman" w:hAnsi="Times New Roman" w:eastAsia="Times New Roman" w:cs="Times New Roman"/>
      <w:color w:val="000000"/>
      <w:kern w:val="2"/>
      <w:sz w:val="24"/>
      <w:szCs w:val="24"/>
      <w:lang w:val="pt-BR" w:eastAsia="zh-CN" w:bidi="hi-IN"/>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qFormat/>
    <w:rsid w:val="0054016d"/>
  </w:style>
  <w:style w:type="numbering" w:styleId="Estilo5" w:customStyle="1">
    <w:name w:val="Estilo5"/>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pncp/pt-br/catalogo-eletronico-de-padronizacao" TargetMode="External"/><Relationship Id="rId2" Type="http://schemas.openxmlformats.org/officeDocument/2006/relationships/hyperlink" Target="https://www.gov.br/agu/pt-br/composicao/cgu/cgu/guias/gncs_082022.pdf" TargetMode="External"/><Relationship Id="rId3" Type="http://schemas.openxmlformats.org/officeDocument/2006/relationships/hyperlink" Target="https://www.gov.br/compras/pt-br/acesso-a-informacao/legislacao/instrucoes-normativas/instrucao-normativa-seges-me-no-81-de-25-de-novembro-de-2022" TargetMode="External"/><Relationship Id="rId4" Type="http://schemas.openxmlformats.org/officeDocument/2006/relationships/hyperlink" Target="https://www.gov.br/compras/pt-br/acesso-a-informacao/legislacao/instrucoes-normativas/instrucao-normativa-seges-no-58-de-8-de-agosto-de-2022" TargetMode="External"/><Relationship Id="rId5" Type="http://schemas.openxmlformats.org/officeDocument/2006/relationships/hyperlink" Target="https://www.gov.br/compras/pt-br/acesso-a-informacao/legislacao/portarias/portaria-seges-me-no-8-678-de-19-de-julho-de-2021" TargetMode="External"/><Relationship Id="rId6" Type="http://schemas.openxmlformats.org/officeDocument/2006/relationships/hyperlink" Target="https://sapiens.agu.gov.br/valida_publico?id=627431320" TargetMode="External"/><Relationship Id="rId7" Type="http://schemas.openxmlformats.org/officeDocument/2006/relationships/hyperlink" Target="https://www.planalto.gov.br/ccivil_03/_ato2007-2010/2010/lei/l12305.htm" TargetMode="External"/><Relationship Id="rId8" Type="http://schemas.openxmlformats.org/officeDocument/2006/relationships/hyperlink" Target="https://sapiens.agu.gov.br/valida_publico?id=627431320" TargetMode="External"/><Relationship Id="rId9" Type="http://schemas.openxmlformats.org/officeDocument/2006/relationships/hyperlink" Target="https://www.gov.br/agu/pt-br/composicao/cgu/cgu/guias/gncs_082022.pdf" TargetMode="External"/><Relationship Id="rId10" Type="http://schemas.openxmlformats.org/officeDocument/2006/relationships/hyperlink" Target="https://www.gov.br/agu/pt-br/composicao/cgu/cgu/guias/gncs_082022.pdf" TargetMode="External"/><Relationship Id="rId11" Type="http://schemas.openxmlformats.org/officeDocument/2006/relationships/hyperlink" Target="https://doacoes.gov.br/"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seges-me-no-81-de-25-de-novembro-de-2022" TargetMode="External"/><Relationship Id="rId14" Type="http://schemas.openxmlformats.org/officeDocument/2006/relationships/hyperlink" Target="https://www.gov.br/compras/pt-br/acesso-a-informacao/legislacao/instrucoes-normativas/instrucao-normativa-seges-me-no-81-de-25-de-novembro-de-2022" TargetMode="External"/><Relationship Id="rId15" Type="http://schemas.openxmlformats.org/officeDocument/2006/relationships/hyperlink" Target="https://www.gov.br/compras/pt-br/acesso-a-informacao/legislacao/instrucoes-normativas/instrucao-normativa-seges-me-no-81-de-25-de-novembro-de-2022" TargetMode="External"/><Relationship Id="rId16"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7-de-4-de-novembro-de-2022" TargetMode="External"/><Relationship Id="rId19"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7-de-4-de-novembro-de-2022" TargetMode="External"/><Relationship Id="rId21" Type="http://schemas.openxmlformats.org/officeDocument/2006/relationships/hyperlink" Target="https://www.gov.br/compras/pt-br/acesso-a-informacao/legislacao/instrucoes-normativas/instrucao-normativa-seges-me-no-77-de-4-de-novembro-de-2022"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116-de-21-de-dezembro-de-2021"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28" Type="http://schemas.openxmlformats.org/officeDocument/2006/relationships/hyperlink" Target="https://www.planalto.gov.br/ccivil_03/_ato2019-2022/2022/decreto/d10977.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2/decreto/D10977.htm" TargetMode="External"/><Relationship Id="rId32" Type="http://schemas.openxmlformats.org/officeDocument/2006/relationships/hyperlink" Target="https://www.planalto.gov.br/ccivil_03/leis/1980-1988/l7116.htm" TargetMode="External"/><Relationship Id="rId33" Type="http://schemas.openxmlformats.org/officeDocument/2006/relationships/hyperlink" Target="https://www.in.gov.br/en/web/dou/-/lei-n-14.195-de-26-de-agosto-de-2021-341049135" TargetMode="External"/><Relationship Id="rId34" Type="http://schemas.openxmlformats.org/officeDocument/2006/relationships/hyperlink" Target="http://www.planalto.gov.br/ccivil_03/_ato2019-2022/2022/lei/L14382.htm" TargetMode="External"/><Relationship Id="rId35" Type="http://schemas.openxmlformats.org/officeDocument/2006/relationships/hyperlink" Target="https://legislacao.presidencia.gov.br/atos/?tipo=LEI&amp;numero=10406&amp;ano=2002&amp;ato=ac5gXVE5ENNpWT07a" TargetMode="External"/><Relationship Id="rId36" Type="http://schemas.openxmlformats.org/officeDocument/2006/relationships/hyperlink" Target="https://www.planalto.gov.br/ccivil_03/leis/l5172compilado.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constituicao/constituicao.htm" TargetMode="External"/><Relationship Id="rId4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constituicao/constituicao.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116-de-21-de-dezembro-de-2021" TargetMode="External"/><Relationship Id="rId44" Type="http://schemas.openxmlformats.org/officeDocument/2006/relationships/hyperlink" Target="http://www.planalto.gov.br/ccivil_03/_ato2019-2022/2021/lei/L14133.htm" TargetMode="External"/><Relationship Id="rId45" Type="http://schemas.openxmlformats.org/officeDocument/2006/relationships/hyperlink" Target="https://sapiens.agu.gov.br/valida_publico?id=701283242" TargetMode="External"/><Relationship Id="rId46" Type="http://schemas.openxmlformats.org/officeDocument/2006/relationships/hyperlink" Target="https://antigo.agu.gov.br/page/atos/detalhe/idato/1778660"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65-de-7-de-julho-de-2021" TargetMode="External"/><Relationship Id="rId49" Type="http://schemas.openxmlformats.org/officeDocument/2006/relationships/hyperlink" Target="https://www.gov.br/compras/pt-br/acesso-a-informacao/legislacao/instrucoes-normativas/instrucao-normativa-seges-me-no-81-de-25-de-nov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footer" Target="footer1.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180</TotalTime>
  <Application>LibreOffice/7.6.7.2$Windows_x86 LibreOffice_project/dd47e4b30cb7dab30588d6c79c651f218165e3c5</Application>
  <AppVersion>15.0000</AppVersion>
  <Pages>28</Pages>
  <Words>860</Words>
  <Characters>4848</Characters>
  <CharactersWithSpaces>5642</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2025-10-06T01:13:00Z</dcterms:created>
  <dc:creator/>
  <dc:description/>
  <dc:language>pt-BR</dc:language>
  <cp:lastModifiedBy/>
  <dcterms:modified xsi:type="dcterms:W3CDTF">2026-01-14T14:45:49Z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file>